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405C" w:rsidRDefault="00B04310">
      <w:pPr>
        <w:jc w:val="center"/>
        <w:rPr>
          <w:b/>
          <w:sz w:val="24"/>
          <w:szCs w:val="24"/>
        </w:rPr>
      </w:pPr>
      <w:r>
        <w:rPr>
          <w:b/>
          <w:sz w:val="24"/>
          <w:szCs w:val="24"/>
        </w:rPr>
        <w:t>INFORME FINAL PROSEDE 2019</w:t>
      </w:r>
    </w:p>
    <w:p w14:paraId="00000002" w14:textId="77777777" w:rsidR="00E2405C" w:rsidRDefault="00B04310">
      <w:pPr>
        <w:rPr>
          <w:sz w:val="24"/>
          <w:szCs w:val="24"/>
        </w:rPr>
      </w:pPr>
      <w:bookmarkStart w:id="0" w:name="_heading=h.gjdgxs" w:colFirst="0" w:colLast="0"/>
      <w:bookmarkEnd w:id="0"/>
      <w:r>
        <w:rPr>
          <w:b/>
          <w:sz w:val="24"/>
          <w:szCs w:val="24"/>
        </w:rPr>
        <w:t xml:space="preserve">Lugar y fecha de elaboración: </w:t>
      </w:r>
      <w:r>
        <w:rPr>
          <w:sz w:val="24"/>
          <w:szCs w:val="24"/>
        </w:rPr>
        <w:t>Ciudad de México a 26 de noviembre de 2019</w:t>
      </w:r>
    </w:p>
    <w:p w14:paraId="00000003" w14:textId="77777777" w:rsidR="00E2405C" w:rsidRDefault="00B04310">
      <w:pPr>
        <w:rPr>
          <w:sz w:val="24"/>
          <w:szCs w:val="24"/>
        </w:rPr>
      </w:pPr>
      <w:r>
        <w:rPr>
          <w:b/>
          <w:sz w:val="24"/>
          <w:szCs w:val="24"/>
        </w:rPr>
        <w:t xml:space="preserve">Nombre de la Organización: </w:t>
      </w:r>
      <w:proofErr w:type="spellStart"/>
      <w:r>
        <w:rPr>
          <w:sz w:val="24"/>
          <w:szCs w:val="24"/>
        </w:rPr>
        <w:t>Arkemetria</w:t>
      </w:r>
      <w:proofErr w:type="spellEnd"/>
      <w:r>
        <w:rPr>
          <w:sz w:val="24"/>
          <w:szCs w:val="24"/>
        </w:rPr>
        <w:t xml:space="preserve"> Social A.C.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3"/>
        <w:gridCol w:w="5915"/>
      </w:tblGrid>
      <w:tr w:rsidR="00E2405C" w14:paraId="5B3AB2AD" w14:textId="77777777">
        <w:tc>
          <w:tcPr>
            <w:tcW w:w="8828" w:type="dxa"/>
            <w:gridSpan w:val="2"/>
            <w:shd w:val="clear" w:color="auto" w:fill="712684"/>
            <w:vAlign w:val="center"/>
          </w:tcPr>
          <w:p w14:paraId="00000004" w14:textId="77777777" w:rsidR="00E2405C" w:rsidRDefault="00B04310">
            <w:pPr>
              <w:spacing w:after="0" w:line="240" w:lineRule="auto"/>
              <w:jc w:val="center"/>
              <w:rPr>
                <w:b/>
                <w:color w:val="FFFFFF"/>
              </w:rPr>
            </w:pPr>
            <w:r>
              <w:rPr>
                <w:b/>
                <w:color w:val="FFFFFF"/>
              </w:rPr>
              <w:t>NOMBRE DEL PROYECTO</w:t>
            </w:r>
          </w:p>
          <w:p w14:paraId="00000005" w14:textId="77777777" w:rsidR="00E2405C" w:rsidRDefault="00E2405C">
            <w:pPr>
              <w:spacing w:after="0" w:line="240" w:lineRule="auto"/>
              <w:jc w:val="center"/>
              <w:rPr>
                <w:b/>
              </w:rPr>
            </w:pPr>
          </w:p>
        </w:tc>
      </w:tr>
      <w:tr w:rsidR="00E2405C" w14:paraId="05324649" w14:textId="77777777">
        <w:tc>
          <w:tcPr>
            <w:tcW w:w="8828" w:type="dxa"/>
            <w:gridSpan w:val="2"/>
            <w:shd w:val="clear" w:color="auto" w:fill="auto"/>
          </w:tcPr>
          <w:p w14:paraId="00000007" w14:textId="3853C39D" w:rsidR="00E2405C" w:rsidRDefault="00B04310">
            <w:pPr>
              <w:spacing w:after="160" w:line="259" w:lineRule="auto"/>
              <w:jc w:val="both"/>
              <w:rPr>
                <w:b/>
                <w:color w:val="FFFFFF"/>
              </w:rPr>
            </w:pPr>
            <w:r>
              <w:t>El Derecho de Acceso a la Información para el empoderamiento de las mujeres de base: un ejercicio de vigilancia ciudadana para mejorar el acceso a los servicios públicos, programas sociales y obra pública en las alcaldías de la CDMX y los municipios del Estado de México.</w:t>
            </w:r>
            <w:r>
              <w:rPr>
                <w:vertAlign w:val="superscript"/>
              </w:rPr>
              <w:footnoteReference w:id="1"/>
            </w:r>
          </w:p>
        </w:tc>
      </w:tr>
      <w:tr w:rsidR="00E2405C" w14:paraId="74BF1D02" w14:textId="77777777">
        <w:tc>
          <w:tcPr>
            <w:tcW w:w="8828" w:type="dxa"/>
            <w:gridSpan w:val="2"/>
            <w:shd w:val="clear" w:color="auto" w:fill="712684"/>
            <w:vAlign w:val="center"/>
          </w:tcPr>
          <w:p w14:paraId="00000009" w14:textId="77777777" w:rsidR="00E2405C" w:rsidRDefault="00B04310">
            <w:pPr>
              <w:spacing w:after="0" w:line="240" w:lineRule="auto"/>
              <w:jc w:val="center"/>
              <w:rPr>
                <w:b/>
                <w:color w:val="FFFFFF"/>
              </w:rPr>
            </w:pPr>
            <w:r>
              <w:rPr>
                <w:b/>
                <w:color w:val="FFFFFF"/>
              </w:rPr>
              <w:t xml:space="preserve">LOGROS </w:t>
            </w:r>
          </w:p>
          <w:p w14:paraId="0000000A" w14:textId="77777777" w:rsidR="00E2405C" w:rsidRDefault="00E2405C">
            <w:pPr>
              <w:spacing w:after="0" w:line="240" w:lineRule="auto"/>
              <w:jc w:val="center"/>
              <w:rPr>
                <w:b/>
              </w:rPr>
            </w:pPr>
          </w:p>
        </w:tc>
      </w:tr>
      <w:tr w:rsidR="00E2405C" w14:paraId="25DC8C46" w14:textId="77777777">
        <w:trPr>
          <w:trHeight w:val="120"/>
        </w:trPr>
        <w:tc>
          <w:tcPr>
            <w:tcW w:w="2913" w:type="dxa"/>
            <w:shd w:val="clear" w:color="auto" w:fill="auto"/>
            <w:vAlign w:val="center"/>
          </w:tcPr>
          <w:p w14:paraId="0000000C" w14:textId="77777777" w:rsidR="00E2405C" w:rsidRDefault="00E2405C">
            <w:pPr>
              <w:spacing w:after="0" w:line="240" w:lineRule="auto"/>
              <w:rPr>
                <w:b/>
                <w:color w:val="000000"/>
              </w:rPr>
            </w:pPr>
          </w:p>
          <w:p w14:paraId="0000000D" w14:textId="77777777" w:rsidR="00E2405C" w:rsidRDefault="00B04310">
            <w:pPr>
              <w:spacing w:after="0" w:line="240" w:lineRule="auto"/>
              <w:rPr>
                <w:b/>
                <w:color w:val="000000"/>
              </w:rPr>
            </w:pPr>
            <w:r>
              <w:rPr>
                <w:b/>
                <w:color w:val="000000"/>
              </w:rPr>
              <w:t>Actividades realizadas</w:t>
            </w:r>
          </w:p>
          <w:p w14:paraId="0000000E" w14:textId="77777777" w:rsidR="00E2405C" w:rsidRDefault="00E2405C">
            <w:pPr>
              <w:spacing w:after="0" w:line="240" w:lineRule="auto"/>
              <w:rPr>
                <w:b/>
                <w:color w:val="000000"/>
              </w:rPr>
            </w:pPr>
          </w:p>
        </w:tc>
        <w:tc>
          <w:tcPr>
            <w:tcW w:w="5915" w:type="dxa"/>
            <w:shd w:val="clear" w:color="auto" w:fill="auto"/>
          </w:tcPr>
          <w:p w14:paraId="4D79D2E3" w14:textId="77777777" w:rsidR="003C0696" w:rsidRDefault="003C0696" w:rsidP="003C0696">
            <w:pPr>
              <w:spacing w:after="0" w:line="240" w:lineRule="auto"/>
              <w:jc w:val="both"/>
            </w:pPr>
          </w:p>
          <w:p w14:paraId="00000011" w14:textId="2F2F87CF" w:rsidR="00E2405C" w:rsidRPr="003C0696" w:rsidRDefault="00B04310" w:rsidP="003C0696">
            <w:pPr>
              <w:spacing w:after="0" w:line="240" w:lineRule="auto"/>
              <w:jc w:val="both"/>
            </w:pPr>
            <w:r w:rsidRPr="003C0696">
              <w:t>Como parte del proceso de capacitación implementado en el proyecto, se realizaron las siguientes actividades con la</w:t>
            </w:r>
            <w:r w:rsidR="003C0696">
              <w:t xml:space="preserve"> </w:t>
            </w:r>
            <w:r w:rsidRPr="003C0696">
              <w:t xml:space="preserve">población objetivo: </w:t>
            </w:r>
          </w:p>
          <w:p w14:paraId="00000012" w14:textId="77777777" w:rsidR="00E2405C" w:rsidRPr="003C0696" w:rsidRDefault="00B04310">
            <w:pPr>
              <w:numPr>
                <w:ilvl w:val="0"/>
                <w:numId w:val="4"/>
              </w:numPr>
              <w:spacing w:after="0" w:line="240" w:lineRule="auto"/>
              <w:jc w:val="both"/>
            </w:pPr>
            <w:r w:rsidRPr="003C0696">
              <w:t>5 talleres de capacitación con grupos de mujeres en los siguientes lugares: Chalco, Benito Juárez, Tlalpan, Metepec y Cuauhtémoc.</w:t>
            </w:r>
          </w:p>
          <w:p w14:paraId="00000013" w14:textId="77777777" w:rsidR="00E2405C" w:rsidRPr="003C0696" w:rsidRDefault="00574E40">
            <w:pPr>
              <w:numPr>
                <w:ilvl w:val="0"/>
                <w:numId w:val="4"/>
              </w:numPr>
              <w:spacing w:after="0" w:line="240" w:lineRule="auto"/>
              <w:jc w:val="both"/>
            </w:pPr>
            <w:sdt>
              <w:sdtPr>
                <w:tag w:val="goog_rdk_0"/>
                <w:id w:val="-980379369"/>
              </w:sdtPr>
              <w:sdtEndPr/>
              <w:sdtContent/>
            </w:sdt>
            <w:r w:rsidR="00B04310" w:rsidRPr="003C0696">
              <w:t xml:space="preserve">17 reuniones de seguimiento con los grupos de mujeres para el seguimiento a la implementación de los ejercicios de vigilancia ciudadana sobre asuntos públicos locales. Del total de reuniones, 8 se realizaron de manera presencial, mientras que 9 fueron de manera virtual. </w:t>
            </w:r>
          </w:p>
          <w:p w14:paraId="00000014" w14:textId="77777777" w:rsidR="00E2405C" w:rsidRPr="003C0696" w:rsidRDefault="00B04310">
            <w:pPr>
              <w:numPr>
                <w:ilvl w:val="0"/>
                <w:numId w:val="2"/>
              </w:numPr>
              <w:spacing w:after="0" w:line="240" w:lineRule="auto"/>
              <w:jc w:val="both"/>
            </w:pPr>
            <w:r w:rsidRPr="003C0696">
              <w:t>1 encuentro para el intercambio de experiencias entre mujeres participantes.</w:t>
            </w:r>
          </w:p>
          <w:p w14:paraId="00000015" w14:textId="77777777" w:rsidR="00E2405C" w:rsidRPr="003C0696" w:rsidRDefault="00E2405C">
            <w:pPr>
              <w:spacing w:after="0" w:line="240" w:lineRule="auto"/>
              <w:jc w:val="both"/>
            </w:pPr>
          </w:p>
          <w:p w14:paraId="00000016" w14:textId="77777777" w:rsidR="00E2405C" w:rsidRPr="003C0696" w:rsidRDefault="00B04310">
            <w:pPr>
              <w:spacing w:after="0" w:line="240" w:lineRule="auto"/>
              <w:jc w:val="both"/>
            </w:pPr>
            <w:r w:rsidRPr="003C0696">
              <w:t>Además, se realizaron las siguientes actividades:</w:t>
            </w:r>
          </w:p>
          <w:p w14:paraId="00000017" w14:textId="77777777" w:rsidR="00E2405C" w:rsidRPr="003C0696" w:rsidRDefault="00B04310">
            <w:pPr>
              <w:numPr>
                <w:ilvl w:val="0"/>
                <w:numId w:val="1"/>
              </w:numPr>
              <w:spacing w:after="0" w:line="240" w:lineRule="auto"/>
              <w:jc w:val="both"/>
            </w:pPr>
            <w:r w:rsidRPr="003C0696">
              <w:t xml:space="preserve">Investigación y diseño para la elaboración de guías para la vigilancia ciudadana en tres temas: seguridad pública, programas sociales y obra pública. </w:t>
            </w:r>
          </w:p>
          <w:p w14:paraId="00000018" w14:textId="77777777" w:rsidR="00E2405C" w:rsidRPr="003C0696" w:rsidRDefault="00B04310">
            <w:pPr>
              <w:numPr>
                <w:ilvl w:val="0"/>
                <w:numId w:val="1"/>
              </w:numPr>
              <w:spacing w:after="0" w:line="240" w:lineRule="auto"/>
              <w:jc w:val="both"/>
            </w:pPr>
            <w:r w:rsidRPr="003C0696">
              <w:t>Investigación y diseño para la elaboración de materiales de apoyo a la capacitación: guías básicas e infografías.</w:t>
            </w:r>
          </w:p>
          <w:p w14:paraId="00000019" w14:textId="77777777" w:rsidR="00E2405C" w:rsidRPr="003C0696" w:rsidRDefault="00B04310">
            <w:pPr>
              <w:numPr>
                <w:ilvl w:val="0"/>
                <w:numId w:val="1"/>
              </w:numPr>
              <w:spacing w:after="0" w:line="240" w:lineRule="auto"/>
              <w:jc w:val="both"/>
            </w:pPr>
            <w:r w:rsidRPr="003C0696">
              <w:t xml:space="preserve">Diseño y aplicación de una campaña de comunicación en redes sociales sobre la vigilancia ciudadana de asuntos públicos en el ámbito local.    </w:t>
            </w:r>
          </w:p>
        </w:tc>
      </w:tr>
      <w:tr w:rsidR="00E2405C" w14:paraId="7823A32A" w14:textId="77777777">
        <w:trPr>
          <w:trHeight w:val="120"/>
        </w:trPr>
        <w:tc>
          <w:tcPr>
            <w:tcW w:w="2913" w:type="dxa"/>
            <w:shd w:val="clear" w:color="auto" w:fill="auto"/>
            <w:vAlign w:val="center"/>
          </w:tcPr>
          <w:p w14:paraId="0000001A" w14:textId="77777777" w:rsidR="00E2405C" w:rsidRDefault="00E2405C">
            <w:pPr>
              <w:spacing w:after="0" w:line="240" w:lineRule="auto"/>
              <w:rPr>
                <w:b/>
                <w:color w:val="000000"/>
              </w:rPr>
            </w:pPr>
          </w:p>
          <w:p w14:paraId="0000001B" w14:textId="77777777" w:rsidR="00E2405C" w:rsidRDefault="00B04310">
            <w:pPr>
              <w:spacing w:after="0" w:line="240" w:lineRule="auto"/>
              <w:rPr>
                <w:b/>
                <w:color w:val="000000"/>
              </w:rPr>
            </w:pPr>
            <w:r>
              <w:rPr>
                <w:b/>
                <w:color w:val="000000"/>
              </w:rPr>
              <w:t>Ubicación geográfica de las actividades realizadas</w:t>
            </w:r>
          </w:p>
          <w:p w14:paraId="0000001C" w14:textId="77777777" w:rsidR="00E2405C" w:rsidRDefault="00E2405C">
            <w:pPr>
              <w:spacing w:after="0" w:line="240" w:lineRule="auto"/>
              <w:rPr>
                <w:b/>
                <w:color w:val="000000"/>
              </w:rPr>
            </w:pPr>
          </w:p>
        </w:tc>
        <w:tc>
          <w:tcPr>
            <w:tcW w:w="5915" w:type="dxa"/>
            <w:shd w:val="clear" w:color="auto" w:fill="auto"/>
          </w:tcPr>
          <w:p w14:paraId="0000001D" w14:textId="77777777" w:rsidR="00E2405C" w:rsidRPr="003C0696" w:rsidRDefault="00B04310">
            <w:pPr>
              <w:spacing w:after="0" w:line="240" w:lineRule="auto"/>
              <w:jc w:val="both"/>
            </w:pPr>
            <w:r w:rsidRPr="003C0696">
              <w:t>Entidad federativa + ciudad(es) atendida(s) / municipio (delegación). Indicar si hubo modificaciones respecto al proyecto inicial y explicar las razones.</w:t>
            </w:r>
          </w:p>
          <w:p w14:paraId="0000001E" w14:textId="77777777" w:rsidR="00E2405C" w:rsidRPr="003C0696" w:rsidRDefault="00E2405C">
            <w:pPr>
              <w:spacing w:after="0" w:line="240" w:lineRule="auto"/>
              <w:jc w:val="both"/>
            </w:pPr>
          </w:p>
          <w:tbl>
            <w:tblPr>
              <w:tblStyle w:val="a0"/>
              <w:tblW w:w="57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3"/>
              <w:gridCol w:w="3652"/>
            </w:tblGrid>
            <w:tr w:rsidR="003C0696" w:rsidRPr="003C0696" w14:paraId="5D6198A3" w14:textId="77777777" w:rsidTr="003C0696">
              <w:tc>
                <w:tcPr>
                  <w:tcW w:w="2063" w:type="dxa"/>
                  <w:shd w:val="clear" w:color="auto" w:fill="auto"/>
                  <w:tcMar>
                    <w:top w:w="100" w:type="dxa"/>
                    <w:left w:w="100" w:type="dxa"/>
                    <w:bottom w:w="100" w:type="dxa"/>
                    <w:right w:w="100" w:type="dxa"/>
                  </w:tcMar>
                </w:tcPr>
                <w:p w14:paraId="75FBDABF" w14:textId="56255BCA" w:rsidR="003C0696" w:rsidRPr="003C0696" w:rsidRDefault="003C0696" w:rsidP="003C0696">
                  <w:pPr>
                    <w:widowControl w:val="0"/>
                    <w:pBdr>
                      <w:top w:val="nil"/>
                      <w:left w:val="nil"/>
                      <w:bottom w:val="nil"/>
                      <w:right w:val="nil"/>
                      <w:between w:val="nil"/>
                    </w:pBdr>
                    <w:spacing w:after="0" w:line="240" w:lineRule="auto"/>
                    <w:jc w:val="center"/>
                    <w:rPr>
                      <w:b/>
                      <w:bCs/>
                    </w:rPr>
                  </w:pPr>
                  <w:r w:rsidRPr="003C0696">
                    <w:rPr>
                      <w:b/>
                      <w:bCs/>
                    </w:rPr>
                    <w:t>Entidad federativa</w:t>
                  </w:r>
                </w:p>
              </w:tc>
              <w:tc>
                <w:tcPr>
                  <w:tcW w:w="3652" w:type="dxa"/>
                  <w:shd w:val="clear" w:color="auto" w:fill="auto"/>
                  <w:tcMar>
                    <w:top w:w="100" w:type="dxa"/>
                    <w:left w:w="100" w:type="dxa"/>
                    <w:bottom w:w="100" w:type="dxa"/>
                    <w:right w:w="100" w:type="dxa"/>
                  </w:tcMar>
                </w:tcPr>
                <w:p w14:paraId="5A03C320" w14:textId="104E032A" w:rsidR="003C0696" w:rsidRPr="003C0696" w:rsidRDefault="003C0696" w:rsidP="003C0696">
                  <w:pPr>
                    <w:widowControl w:val="0"/>
                    <w:pBdr>
                      <w:top w:val="nil"/>
                      <w:left w:val="nil"/>
                      <w:bottom w:val="nil"/>
                      <w:right w:val="nil"/>
                      <w:between w:val="nil"/>
                    </w:pBdr>
                    <w:spacing w:after="0" w:line="240" w:lineRule="auto"/>
                    <w:jc w:val="center"/>
                    <w:rPr>
                      <w:b/>
                      <w:bCs/>
                    </w:rPr>
                  </w:pPr>
                  <w:r w:rsidRPr="003C0696">
                    <w:rPr>
                      <w:b/>
                      <w:bCs/>
                    </w:rPr>
                    <w:t>Municipio / Alcaldía</w:t>
                  </w:r>
                </w:p>
              </w:tc>
            </w:tr>
            <w:tr w:rsidR="003C0696" w:rsidRPr="003C0696" w14:paraId="18FE257C" w14:textId="77777777" w:rsidTr="003C0696">
              <w:tc>
                <w:tcPr>
                  <w:tcW w:w="2063" w:type="dxa"/>
                  <w:shd w:val="clear" w:color="auto" w:fill="auto"/>
                  <w:tcMar>
                    <w:top w:w="100" w:type="dxa"/>
                    <w:left w:w="100" w:type="dxa"/>
                    <w:bottom w:w="100" w:type="dxa"/>
                    <w:right w:w="100" w:type="dxa"/>
                  </w:tcMar>
                </w:tcPr>
                <w:p w14:paraId="0000001F" w14:textId="77777777" w:rsidR="00E2405C" w:rsidRPr="003C0696" w:rsidRDefault="00B04310">
                  <w:pPr>
                    <w:widowControl w:val="0"/>
                    <w:pBdr>
                      <w:top w:val="nil"/>
                      <w:left w:val="nil"/>
                      <w:bottom w:val="nil"/>
                      <w:right w:val="nil"/>
                      <w:between w:val="nil"/>
                    </w:pBdr>
                    <w:spacing w:after="0" w:line="240" w:lineRule="auto"/>
                  </w:pPr>
                  <w:r w:rsidRPr="003C0696">
                    <w:t>Ciudad de México</w:t>
                  </w:r>
                </w:p>
              </w:tc>
              <w:tc>
                <w:tcPr>
                  <w:tcW w:w="3652" w:type="dxa"/>
                  <w:shd w:val="clear" w:color="auto" w:fill="auto"/>
                  <w:tcMar>
                    <w:top w:w="100" w:type="dxa"/>
                    <w:left w:w="100" w:type="dxa"/>
                    <w:bottom w:w="100" w:type="dxa"/>
                    <w:right w:w="100" w:type="dxa"/>
                  </w:tcMar>
                </w:tcPr>
                <w:p w14:paraId="00000020" w14:textId="77777777" w:rsidR="00E2405C" w:rsidRPr="003C0696" w:rsidRDefault="00B04310">
                  <w:pPr>
                    <w:widowControl w:val="0"/>
                    <w:pBdr>
                      <w:top w:val="nil"/>
                      <w:left w:val="nil"/>
                      <w:bottom w:val="nil"/>
                      <w:right w:val="nil"/>
                      <w:between w:val="nil"/>
                    </w:pBdr>
                    <w:spacing w:after="0" w:line="240" w:lineRule="auto"/>
                  </w:pPr>
                  <w:r w:rsidRPr="003C0696">
                    <w:t>Benito Juárez</w:t>
                  </w:r>
                </w:p>
                <w:p w14:paraId="00000021" w14:textId="77777777" w:rsidR="00E2405C" w:rsidRPr="003C0696" w:rsidRDefault="00B04310">
                  <w:pPr>
                    <w:widowControl w:val="0"/>
                    <w:pBdr>
                      <w:top w:val="nil"/>
                      <w:left w:val="nil"/>
                      <w:bottom w:val="nil"/>
                      <w:right w:val="nil"/>
                      <w:between w:val="nil"/>
                    </w:pBdr>
                    <w:spacing w:after="0" w:line="240" w:lineRule="auto"/>
                  </w:pPr>
                  <w:r w:rsidRPr="003C0696">
                    <w:t>Cuauhtémoc</w:t>
                  </w:r>
                </w:p>
                <w:p w14:paraId="00000022" w14:textId="77777777" w:rsidR="00E2405C" w:rsidRPr="003C0696" w:rsidRDefault="00B04310">
                  <w:pPr>
                    <w:widowControl w:val="0"/>
                    <w:pBdr>
                      <w:top w:val="nil"/>
                      <w:left w:val="nil"/>
                      <w:bottom w:val="nil"/>
                      <w:right w:val="nil"/>
                      <w:between w:val="nil"/>
                    </w:pBdr>
                    <w:spacing w:after="0" w:line="240" w:lineRule="auto"/>
                  </w:pPr>
                  <w:r w:rsidRPr="003C0696">
                    <w:t>Tlalpan</w:t>
                  </w:r>
                </w:p>
              </w:tc>
            </w:tr>
            <w:tr w:rsidR="003C0696" w:rsidRPr="003C0696" w14:paraId="68F0C788" w14:textId="77777777" w:rsidTr="003C0696">
              <w:tc>
                <w:tcPr>
                  <w:tcW w:w="2063" w:type="dxa"/>
                  <w:shd w:val="clear" w:color="auto" w:fill="auto"/>
                  <w:tcMar>
                    <w:top w:w="100" w:type="dxa"/>
                    <w:left w:w="100" w:type="dxa"/>
                    <w:bottom w:w="100" w:type="dxa"/>
                    <w:right w:w="100" w:type="dxa"/>
                  </w:tcMar>
                </w:tcPr>
                <w:p w14:paraId="00000023" w14:textId="77777777" w:rsidR="00E2405C" w:rsidRPr="003C0696" w:rsidRDefault="00B04310">
                  <w:pPr>
                    <w:widowControl w:val="0"/>
                    <w:pBdr>
                      <w:top w:val="nil"/>
                      <w:left w:val="nil"/>
                      <w:bottom w:val="nil"/>
                      <w:right w:val="nil"/>
                      <w:between w:val="nil"/>
                    </w:pBdr>
                    <w:spacing w:after="0" w:line="240" w:lineRule="auto"/>
                  </w:pPr>
                  <w:r w:rsidRPr="003C0696">
                    <w:t>Estado de México</w:t>
                  </w:r>
                </w:p>
              </w:tc>
              <w:tc>
                <w:tcPr>
                  <w:tcW w:w="3652" w:type="dxa"/>
                  <w:shd w:val="clear" w:color="auto" w:fill="auto"/>
                  <w:tcMar>
                    <w:top w:w="100" w:type="dxa"/>
                    <w:left w:w="100" w:type="dxa"/>
                    <w:bottom w:w="100" w:type="dxa"/>
                    <w:right w:w="100" w:type="dxa"/>
                  </w:tcMar>
                </w:tcPr>
                <w:p w14:paraId="00000024" w14:textId="77777777" w:rsidR="00E2405C" w:rsidRPr="003C0696" w:rsidRDefault="00B04310">
                  <w:pPr>
                    <w:widowControl w:val="0"/>
                    <w:pBdr>
                      <w:top w:val="nil"/>
                      <w:left w:val="nil"/>
                      <w:bottom w:val="nil"/>
                      <w:right w:val="nil"/>
                      <w:between w:val="nil"/>
                    </w:pBdr>
                    <w:spacing w:after="0" w:line="240" w:lineRule="auto"/>
                  </w:pPr>
                  <w:r w:rsidRPr="003C0696">
                    <w:t>Chalco</w:t>
                  </w:r>
                </w:p>
                <w:p w14:paraId="00000025" w14:textId="77777777" w:rsidR="00E2405C" w:rsidRPr="003C0696" w:rsidRDefault="00B04310">
                  <w:pPr>
                    <w:widowControl w:val="0"/>
                    <w:pBdr>
                      <w:top w:val="nil"/>
                      <w:left w:val="nil"/>
                      <w:bottom w:val="nil"/>
                      <w:right w:val="nil"/>
                      <w:between w:val="nil"/>
                    </w:pBdr>
                    <w:spacing w:after="0" w:line="240" w:lineRule="auto"/>
                  </w:pPr>
                  <w:r w:rsidRPr="003C0696">
                    <w:t>Metepec</w:t>
                  </w:r>
                </w:p>
              </w:tc>
            </w:tr>
          </w:tbl>
          <w:p w14:paraId="00000026" w14:textId="77777777" w:rsidR="00E2405C" w:rsidRPr="003C0696" w:rsidRDefault="00E2405C">
            <w:pPr>
              <w:spacing w:after="0" w:line="240" w:lineRule="auto"/>
              <w:jc w:val="both"/>
            </w:pPr>
          </w:p>
          <w:p w14:paraId="00000027" w14:textId="77777777" w:rsidR="00E2405C" w:rsidRPr="003C0696" w:rsidRDefault="00B04310">
            <w:pPr>
              <w:spacing w:after="0" w:line="240" w:lineRule="auto"/>
              <w:jc w:val="both"/>
            </w:pPr>
            <w:r w:rsidRPr="003C0696">
              <w:t xml:space="preserve">Sí hubo modificaciones a la ubicación geográfica de las actividades realizadas. Originalmente se consideró trabajar con grupos de mujeres en Álvaro Obregón y Xochimilco en la Ciudad de México, así como de Tecámac y Ecatepec en el Estado de México. Los grupos de mujeres en los lugares originales están vinculados a una organización civil denominada Mujeres, Democracia y Ciudadanía A.C. con quien ya se había colaborado de manera productiva anteriormente. No obstante, aun cuando en el diseño del proyecto se definió trabajar únicamente con estos grupos para dar continuidad al trabajo realizado previamente, no se logró concretar la alianza colaborativa con dicha organización civil una vez aprobado. Las razones tuvieron que ver con cuestiones operativas (saturación de agenda, afectaciones a la salud). Por lo que se decidió que la mejor alternativa para lograr el objetivo del proyecto era cambiar los grupos de mujeres con los que se trabajaría. La definición de los nuevos grupos de mujeres estuvo en función de las redes ciudadanas y alianzas estratégicas con actores locales con los que cuenta </w:t>
            </w:r>
            <w:proofErr w:type="spellStart"/>
            <w:r w:rsidRPr="003C0696">
              <w:t>Arkemetria</w:t>
            </w:r>
            <w:proofErr w:type="spellEnd"/>
            <w:r w:rsidRPr="003C0696">
              <w:t xml:space="preserve"> Social en la Ciudad de México y el Estado de México.  </w:t>
            </w:r>
          </w:p>
          <w:p w14:paraId="00000028" w14:textId="77777777" w:rsidR="00E2405C" w:rsidRPr="003C0696" w:rsidRDefault="00E2405C">
            <w:pPr>
              <w:spacing w:after="0" w:line="240" w:lineRule="auto"/>
              <w:jc w:val="both"/>
              <w:rPr>
                <w:highlight w:val="yellow"/>
              </w:rPr>
            </w:pPr>
          </w:p>
        </w:tc>
      </w:tr>
      <w:tr w:rsidR="00E2405C" w14:paraId="11B5505A" w14:textId="77777777">
        <w:trPr>
          <w:trHeight w:val="120"/>
        </w:trPr>
        <w:tc>
          <w:tcPr>
            <w:tcW w:w="2913" w:type="dxa"/>
            <w:shd w:val="clear" w:color="auto" w:fill="auto"/>
            <w:vAlign w:val="center"/>
          </w:tcPr>
          <w:p w14:paraId="00000029" w14:textId="77777777" w:rsidR="00E2405C" w:rsidRDefault="00E2405C">
            <w:pPr>
              <w:spacing w:after="0" w:line="240" w:lineRule="auto"/>
              <w:rPr>
                <w:b/>
                <w:color w:val="000000"/>
              </w:rPr>
            </w:pPr>
          </w:p>
          <w:p w14:paraId="0000002A" w14:textId="77777777" w:rsidR="00E2405C" w:rsidRDefault="00B04310">
            <w:pPr>
              <w:spacing w:after="0" w:line="240" w:lineRule="auto"/>
              <w:rPr>
                <w:b/>
                <w:color w:val="000000"/>
              </w:rPr>
            </w:pPr>
            <w:r>
              <w:rPr>
                <w:b/>
                <w:color w:val="000000"/>
              </w:rPr>
              <w:t>Población beneficiada (número y tipo de beneficiarios directos e indirectos)</w:t>
            </w:r>
          </w:p>
          <w:p w14:paraId="0000002B" w14:textId="77777777" w:rsidR="00E2405C" w:rsidRDefault="00E2405C">
            <w:pPr>
              <w:spacing w:after="0" w:line="240" w:lineRule="auto"/>
              <w:rPr>
                <w:b/>
                <w:color w:val="000000"/>
              </w:rPr>
            </w:pPr>
          </w:p>
        </w:tc>
        <w:tc>
          <w:tcPr>
            <w:tcW w:w="5915" w:type="dxa"/>
            <w:shd w:val="clear" w:color="auto" w:fill="auto"/>
          </w:tcPr>
          <w:p w14:paraId="0000002C" w14:textId="77777777" w:rsidR="00E2405C" w:rsidRPr="00055F08" w:rsidRDefault="00B04310">
            <w:pPr>
              <w:spacing w:after="0" w:line="240" w:lineRule="auto"/>
            </w:pPr>
            <w:r w:rsidRPr="00055F08">
              <w:t xml:space="preserve"> </w:t>
            </w:r>
          </w:p>
          <w:p w14:paraId="3BEE5374" w14:textId="153A76FF" w:rsidR="003C0696" w:rsidRPr="00055F08" w:rsidRDefault="003C0696" w:rsidP="009F4055">
            <w:pPr>
              <w:spacing w:after="0" w:line="240" w:lineRule="auto"/>
              <w:jc w:val="both"/>
            </w:pPr>
            <w:r w:rsidRPr="00055F08">
              <w:t>El número de personas beneficiarias directas del proyecto fue</w:t>
            </w:r>
            <w:r w:rsidR="009F4055" w:rsidRPr="00055F08">
              <w:t xml:space="preserve"> </w:t>
            </w:r>
            <w:r w:rsidRPr="00055F08">
              <w:t>4</w:t>
            </w:r>
            <w:r w:rsidR="008540DD" w:rsidRPr="00055F08">
              <w:t>9</w:t>
            </w:r>
            <w:r w:rsidRPr="00055F08">
              <w:t xml:space="preserve"> mujeres, pertenecientes a los siguientes municipios y alcaldías: </w:t>
            </w:r>
          </w:p>
          <w:p w14:paraId="11C67C5F" w14:textId="4B651DA9" w:rsidR="003C0696" w:rsidRPr="00055F08" w:rsidRDefault="003C0696">
            <w:pPr>
              <w:spacing w:after="0" w:line="240" w:lineRule="auto"/>
            </w:pPr>
          </w:p>
          <w:tbl>
            <w:tblPr>
              <w:tblW w:w="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3000"/>
            </w:tblGrid>
            <w:tr w:rsidR="00055F08" w:rsidRPr="00055F08" w14:paraId="08DB67BB" w14:textId="77777777" w:rsidTr="008540DD">
              <w:trPr>
                <w:trHeight w:val="300"/>
                <w:jc w:val="center"/>
              </w:trPr>
              <w:tc>
                <w:tcPr>
                  <w:tcW w:w="2080" w:type="dxa"/>
                  <w:shd w:val="clear" w:color="DDEBF7" w:fill="DDEBF7"/>
                  <w:noWrap/>
                  <w:vAlign w:val="bottom"/>
                  <w:hideMark/>
                </w:tcPr>
                <w:p w14:paraId="1BBE3757" w14:textId="2E31918D" w:rsidR="003C0696" w:rsidRPr="00055F08" w:rsidRDefault="003C0696" w:rsidP="003C0696">
                  <w:pPr>
                    <w:spacing w:after="0" w:line="240" w:lineRule="auto"/>
                    <w:rPr>
                      <w:rFonts w:eastAsia="Times New Roman" w:cs="Calibri"/>
                      <w:b/>
                      <w:bCs/>
                      <w:lang w:val="es-MX"/>
                    </w:rPr>
                  </w:pPr>
                  <w:r w:rsidRPr="00055F08">
                    <w:rPr>
                      <w:rFonts w:eastAsia="Times New Roman" w:cs="Calibri"/>
                      <w:b/>
                      <w:bCs/>
                      <w:lang w:val="es-MX"/>
                    </w:rPr>
                    <w:t>Alcaldía / Municipio</w:t>
                  </w:r>
                </w:p>
              </w:tc>
              <w:tc>
                <w:tcPr>
                  <w:tcW w:w="3000" w:type="dxa"/>
                  <w:shd w:val="clear" w:color="DDEBF7" w:fill="DDEBF7"/>
                  <w:noWrap/>
                  <w:vAlign w:val="bottom"/>
                  <w:hideMark/>
                </w:tcPr>
                <w:p w14:paraId="6B5DCF02" w14:textId="714FCFA4" w:rsidR="003C0696" w:rsidRPr="00055F08" w:rsidRDefault="003C0696" w:rsidP="003C0696">
                  <w:pPr>
                    <w:spacing w:after="0" w:line="240" w:lineRule="auto"/>
                    <w:jc w:val="center"/>
                    <w:rPr>
                      <w:rFonts w:eastAsia="Times New Roman" w:cs="Calibri"/>
                      <w:b/>
                      <w:bCs/>
                      <w:lang w:val="es-MX"/>
                    </w:rPr>
                  </w:pPr>
                  <w:r w:rsidRPr="00055F08">
                    <w:rPr>
                      <w:rFonts w:eastAsia="Times New Roman" w:cs="Calibri"/>
                      <w:b/>
                      <w:bCs/>
                      <w:lang w:val="es-MX"/>
                    </w:rPr>
                    <w:t>No.</w:t>
                  </w:r>
                </w:p>
              </w:tc>
            </w:tr>
            <w:tr w:rsidR="00055F08" w:rsidRPr="00055F08" w14:paraId="6E4979C1" w14:textId="77777777" w:rsidTr="008540DD">
              <w:trPr>
                <w:trHeight w:val="300"/>
                <w:jc w:val="center"/>
              </w:trPr>
              <w:tc>
                <w:tcPr>
                  <w:tcW w:w="2080" w:type="dxa"/>
                  <w:shd w:val="clear" w:color="auto" w:fill="auto"/>
                  <w:noWrap/>
                  <w:vAlign w:val="bottom"/>
                  <w:hideMark/>
                </w:tcPr>
                <w:p w14:paraId="642728E7"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Benito Juárez</w:t>
                  </w:r>
                </w:p>
              </w:tc>
              <w:tc>
                <w:tcPr>
                  <w:tcW w:w="3000" w:type="dxa"/>
                  <w:shd w:val="clear" w:color="auto" w:fill="auto"/>
                  <w:noWrap/>
                  <w:vAlign w:val="bottom"/>
                  <w:hideMark/>
                </w:tcPr>
                <w:p w14:paraId="4D591A0E"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6</w:t>
                  </w:r>
                </w:p>
              </w:tc>
            </w:tr>
            <w:tr w:rsidR="00055F08" w:rsidRPr="00055F08" w14:paraId="34AB7499" w14:textId="77777777" w:rsidTr="008540DD">
              <w:trPr>
                <w:trHeight w:val="300"/>
                <w:jc w:val="center"/>
              </w:trPr>
              <w:tc>
                <w:tcPr>
                  <w:tcW w:w="2080" w:type="dxa"/>
                  <w:shd w:val="clear" w:color="auto" w:fill="auto"/>
                  <w:noWrap/>
                  <w:vAlign w:val="bottom"/>
                  <w:hideMark/>
                </w:tcPr>
                <w:p w14:paraId="13D0C5D2"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Chalco</w:t>
                  </w:r>
                </w:p>
              </w:tc>
              <w:tc>
                <w:tcPr>
                  <w:tcW w:w="3000" w:type="dxa"/>
                  <w:shd w:val="clear" w:color="auto" w:fill="auto"/>
                  <w:noWrap/>
                  <w:vAlign w:val="bottom"/>
                  <w:hideMark/>
                </w:tcPr>
                <w:p w14:paraId="4B41C18F" w14:textId="78B7063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1</w:t>
                  </w:r>
                  <w:r w:rsidR="008540DD" w:rsidRPr="00055F08">
                    <w:rPr>
                      <w:rFonts w:eastAsia="Times New Roman" w:cs="Calibri"/>
                      <w:lang w:val="es-MX"/>
                    </w:rPr>
                    <w:t>2</w:t>
                  </w:r>
                </w:p>
              </w:tc>
            </w:tr>
            <w:tr w:rsidR="00055F08" w:rsidRPr="00055F08" w14:paraId="06A81E55" w14:textId="77777777" w:rsidTr="008540DD">
              <w:trPr>
                <w:trHeight w:val="300"/>
                <w:jc w:val="center"/>
              </w:trPr>
              <w:tc>
                <w:tcPr>
                  <w:tcW w:w="2080" w:type="dxa"/>
                  <w:shd w:val="clear" w:color="auto" w:fill="auto"/>
                  <w:noWrap/>
                  <w:vAlign w:val="bottom"/>
                  <w:hideMark/>
                </w:tcPr>
                <w:p w14:paraId="30A4EFC5"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lastRenderedPageBreak/>
                    <w:t>Coyoacán</w:t>
                  </w:r>
                </w:p>
              </w:tc>
              <w:tc>
                <w:tcPr>
                  <w:tcW w:w="3000" w:type="dxa"/>
                  <w:shd w:val="clear" w:color="auto" w:fill="auto"/>
                  <w:noWrap/>
                  <w:vAlign w:val="bottom"/>
                  <w:hideMark/>
                </w:tcPr>
                <w:p w14:paraId="428F1868"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1</w:t>
                  </w:r>
                </w:p>
              </w:tc>
            </w:tr>
            <w:tr w:rsidR="00055F08" w:rsidRPr="00055F08" w14:paraId="598060A3" w14:textId="77777777" w:rsidTr="008540DD">
              <w:trPr>
                <w:trHeight w:val="300"/>
                <w:jc w:val="center"/>
              </w:trPr>
              <w:tc>
                <w:tcPr>
                  <w:tcW w:w="2080" w:type="dxa"/>
                  <w:shd w:val="clear" w:color="auto" w:fill="auto"/>
                  <w:noWrap/>
                  <w:vAlign w:val="bottom"/>
                  <w:hideMark/>
                </w:tcPr>
                <w:p w14:paraId="7AA06077"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Cuauhtémoc</w:t>
                  </w:r>
                </w:p>
              </w:tc>
              <w:tc>
                <w:tcPr>
                  <w:tcW w:w="3000" w:type="dxa"/>
                  <w:shd w:val="clear" w:color="auto" w:fill="auto"/>
                  <w:noWrap/>
                  <w:vAlign w:val="bottom"/>
                  <w:hideMark/>
                </w:tcPr>
                <w:p w14:paraId="75A1C145"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2</w:t>
                  </w:r>
                </w:p>
              </w:tc>
            </w:tr>
            <w:tr w:rsidR="00055F08" w:rsidRPr="00055F08" w14:paraId="0F90BDB8" w14:textId="77777777" w:rsidTr="008540DD">
              <w:trPr>
                <w:trHeight w:val="300"/>
                <w:jc w:val="center"/>
              </w:trPr>
              <w:tc>
                <w:tcPr>
                  <w:tcW w:w="2080" w:type="dxa"/>
                  <w:shd w:val="clear" w:color="auto" w:fill="auto"/>
                  <w:noWrap/>
                  <w:vAlign w:val="bottom"/>
                  <w:hideMark/>
                </w:tcPr>
                <w:p w14:paraId="2D082EB3"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Ixtlahuaca</w:t>
                  </w:r>
                </w:p>
              </w:tc>
              <w:tc>
                <w:tcPr>
                  <w:tcW w:w="3000" w:type="dxa"/>
                  <w:shd w:val="clear" w:color="auto" w:fill="auto"/>
                  <w:noWrap/>
                  <w:vAlign w:val="bottom"/>
                  <w:hideMark/>
                </w:tcPr>
                <w:p w14:paraId="2DF44891"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2</w:t>
                  </w:r>
                </w:p>
              </w:tc>
            </w:tr>
            <w:tr w:rsidR="00055F08" w:rsidRPr="00055F08" w14:paraId="7CD90D6B" w14:textId="77777777" w:rsidTr="008540DD">
              <w:trPr>
                <w:trHeight w:val="300"/>
                <w:jc w:val="center"/>
              </w:trPr>
              <w:tc>
                <w:tcPr>
                  <w:tcW w:w="2080" w:type="dxa"/>
                  <w:shd w:val="clear" w:color="auto" w:fill="auto"/>
                  <w:noWrap/>
                  <w:vAlign w:val="bottom"/>
                  <w:hideMark/>
                </w:tcPr>
                <w:p w14:paraId="3ECAE38E"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Iztapalapa</w:t>
                  </w:r>
                </w:p>
              </w:tc>
              <w:tc>
                <w:tcPr>
                  <w:tcW w:w="3000" w:type="dxa"/>
                  <w:shd w:val="clear" w:color="auto" w:fill="auto"/>
                  <w:noWrap/>
                  <w:vAlign w:val="bottom"/>
                  <w:hideMark/>
                </w:tcPr>
                <w:p w14:paraId="0888A2C5"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1</w:t>
                  </w:r>
                </w:p>
              </w:tc>
            </w:tr>
            <w:tr w:rsidR="00055F08" w:rsidRPr="00055F08" w14:paraId="1C03937B" w14:textId="77777777" w:rsidTr="008540DD">
              <w:trPr>
                <w:trHeight w:val="300"/>
                <w:jc w:val="center"/>
              </w:trPr>
              <w:tc>
                <w:tcPr>
                  <w:tcW w:w="2080" w:type="dxa"/>
                  <w:shd w:val="clear" w:color="auto" w:fill="auto"/>
                  <w:noWrap/>
                  <w:vAlign w:val="bottom"/>
                  <w:hideMark/>
                </w:tcPr>
                <w:p w14:paraId="2DE4C85E"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Jiquipilco</w:t>
                  </w:r>
                </w:p>
              </w:tc>
              <w:tc>
                <w:tcPr>
                  <w:tcW w:w="3000" w:type="dxa"/>
                  <w:shd w:val="clear" w:color="auto" w:fill="auto"/>
                  <w:noWrap/>
                  <w:vAlign w:val="bottom"/>
                  <w:hideMark/>
                </w:tcPr>
                <w:p w14:paraId="3CE799C9"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2</w:t>
                  </w:r>
                </w:p>
              </w:tc>
            </w:tr>
            <w:tr w:rsidR="00055F08" w:rsidRPr="00055F08" w14:paraId="5CC2601A" w14:textId="77777777" w:rsidTr="008540DD">
              <w:trPr>
                <w:trHeight w:val="300"/>
                <w:jc w:val="center"/>
              </w:trPr>
              <w:tc>
                <w:tcPr>
                  <w:tcW w:w="2080" w:type="dxa"/>
                  <w:shd w:val="clear" w:color="auto" w:fill="auto"/>
                  <w:noWrap/>
                  <w:vAlign w:val="bottom"/>
                  <w:hideMark/>
                </w:tcPr>
                <w:p w14:paraId="503D98E5"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Magdalena Contreras</w:t>
                  </w:r>
                </w:p>
              </w:tc>
              <w:tc>
                <w:tcPr>
                  <w:tcW w:w="3000" w:type="dxa"/>
                  <w:shd w:val="clear" w:color="auto" w:fill="auto"/>
                  <w:noWrap/>
                  <w:vAlign w:val="bottom"/>
                  <w:hideMark/>
                </w:tcPr>
                <w:p w14:paraId="661F6068"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1</w:t>
                  </w:r>
                </w:p>
              </w:tc>
            </w:tr>
            <w:tr w:rsidR="00055F08" w:rsidRPr="00055F08" w14:paraId="5DCEEE50" w14:textId="77777777" w:rsidTr="008540DD">
              <w:trPr>
                <w:trHeight w:val="300"/>
                <w:jc w:val="center"/>
              </w:trPr>
              <w:tc>
                <w:tcPr>
                  <w:tcW w:w="2080" w:type="dxa"/>
                  <w:shd w:val="clear" w:color="auto" w:fill="auto"/>
                  <w:noWrap/>
                  <w:vAlign w:val="bottom"/>
                  <w:hideMark/>
                </w:tcPr>
                <w:p w14:paraId="27EDBBFC"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Metepec</w:t>
                  </w:r>
                </w:p>
              </w:tc>
              <w:tc>
                <w:tcPr>
                  <w:tcW w:w="3000" w:type="dxa"/>
                  <w:shd w:val="clear" w:color="auto" w:fill="auto"/>
                  <w:noWrap/>
                  <w:vAlign w:val="bottom"/>
                  <w:hideMark/>
                </w:tcPr>
                <w:p w14:paraId="665173A8" w14:textId="7966414D" w:rsidR="003C0696" w:rsidRPr="00055F08" w:rsidRDefault="008540DD" w:rsidP="003C0696">
                  <w:pPr>
                    <w:spacing w:after="0" w:line="240" w:lineRule="auto"/>
                    <w:jc w:val="center"/>
                    <w:rPr>
                      <w:rFonts w:eastAsia="Times New Roman" w:cs="Calibri"/>
                      <w:lang w:val="es-MX"/>
                    </w:rPr>
                  </w:pPr>
                  <w:r w:rsidRPr="00055F08">
                    <w:rPr>
                      <w:rFonts w:eastAsia="Times New Roman" w:cs="Calibri"/>
                      <w:lang w:val="es-MX"/>
                    </w:rPr>
                    <w:t>5</w:t>
                  </w:r>
                </w:p>
              </w:tc>
            </w:tr>
            <w:tr w:rsidR="00055F08" w:rsidRPr="00055F08" w14:paraId="72EE20C0" w14:textId="77777777" w:rsidTr="008540DD">
              <w:trPr>
                <w:trHeight w:val="300"/>
                <w:jc w:val="center"/>
              </w:trPr>
              <w:tc>
                <w:tcPr>
                  <w:tcW w:w="2080" w:type="dxa"/>
                  <w:shd w:val="clear" w:color="auto" w:fill="auto"/>
                  <w:noWrap/>
                  <w:vAlign w:val="bottom"/>
                  <w:hideMark/>
                </w:tcPr>
                <w:p w14:paraId="66995DAF"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Tlalpan</w:t>
                  </w:r>
                </w:p>
              </w:tc>
              <w:tc>
                <w:tcPr>
                  <w:tcW w:w="3000" w:type="dxa"/>
                  <w:shd w:val="clear" w:color="auto" w:fill="auto"/>
                  <w:noWrap/>
                  <w:vAlign w:val="bottom"/>
                  <w:hideMark/>
                </w:tcPr>
                <w:p w14:paraId="24ABEE9F"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13</w:t>
                  </w:r>
                </w:p>
              </w:tc>
            </w:tr>
            <w:tr w:rsidR="00055F08" w:rsidRPr="00055F08" w14:paraId="333E55E7" w14:textId="77777777" w:rsidTr="008540DD">
              <w:trPr>
                <w:trHeight w:val="300"/>
                <w:jc w:val="center"/>
              </w:trPr>
              <w:tc>
                <w:tcPr>
                  <w:tcW w:w="2080" w:type="dxa"/>
                  <w:shd w:val="clear" w:color="auto" w:fill="auto"/>
                  <w:noWrap/>
                  <w:vAlign w:val="bottom"/>
                  <w:hideMark/>
                </w:tcPr>
                <w:p w14:paraId="346B6188"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Toluca</w:t>
                  </w:r>
                </w:p>
              </w:tc>
              <w:tc>
                <w:tcPr>
                  <w:tcW w:w="3000" w:type="dxa"/>
                  <w:shd w:val="clear" w:color="auto" w:fill="auto"/>
                  <w:noWrap/>
                  <w:vAlign w:val="bottom"/>
                  <w:hideMark/>
                </w:tcPr>
                <w:p w14:paraId="16897AF2"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2</w:t>
                  </w:r>
                </w:p>
              </w:tc>
            </w:tr>
            <w:tr w:rsidR="00055F08" w:rsidRPr="00055F08" w14:paraId="53EF1C6A" w14:textId="77777777" w:rsidTr="008540DD">
              <w:trPr>
                <w:trHeight w:val="300"/>
                <w:jc w:val="center"/>
              </w:trPr>
              <w:tc>
                <w:tcPr>
                  <w:tcW w:w="2080" w:type="dxa"/>
                  <w:shd w:val="clear" w:color="auto" w:fill="auto"/>
                  <w:noWrap/>
                  <w:vAlign w:val="bottom"/>
                  <w:hideMark/>
                </w:tcPr>
                <w:p w14:paraId="79725D66" w14:textId="77777777" w:rsidR="003C0696" w:rsidRPr="00055F08" w:rsidRDefault="003C0696" w:rsidP="003C0696">
                  <w:pPr>
                    <w:spacing w:after="0" w:line="240" w:lineRule="auto"/>
                    <w:rPr>
                      <w:rFonts w:eastAsia="Times New Roman" w:cs="Calibri"/>
                      <w:lang w:val="es-MX"/>
                    </w:rPr>
                  </w:pPr>
                  <w:r w:rsidRPr="00055F08">
                    <w:rPr>
                      <w:rFonts w:eastAsia="Times New Roman" w:cs="Calibri"/>
                      <w:lang w:val="es-MX"/>
                    </w:rPr>
                    <w:t>Venustiano Carranza</w:t>
                  </w:r>
                </w:p>
              </w:tc>
              <w:tc>
                <w:tcPr>
                  <w:tcW w:w="3000" w:type="dxa"/>
                  <w:shd w:val="clear" w:color="auto" w:fill="auto"/>
                  <w:noWrap/>
                  <w:vAlign w:val="bottom"/>
                  <w:hideMark/>
                </w:tcPr>
                <w:p w14:paraId="33761422" w14:textId="77777777" w:rsidR="003C0696" w:rsidRPr="00055F08" w:rsidRDefault="003C0696" w:rsidP="003C0696">
                  <w:pPr>
                    <w:spacing w:after="0" w:line="240" w:lineRule="auto"/>
                    <w:jc w:val="center"/>
                    <w:rPr>
                      <w:rFonts w:eastAsia="Times New Roman" w:cs="Calibri"/>
                      <w:lang w:val="es-MX"/>
                    </w:rPr>
                  </w:pPr>
                  <w:r w:rsidRPr="00055F08">
                    <w:rPr>
                      <w:rFonts w:eastAsia="Times New Roman" w:cs="Calibri"/>
                      <w:lang w:val="es-MX"/>
                    </w:rPr>
                    <w:t>1</w:t>
                  </w:r>
                </w:p>
              </w:tc>
            </w:tr>
            <w:tr w:rsidR="00055F08" w:rsidRPr="00055F08" w14:paraId="0ED52504" w14:textId="77777777" w:rsidTr="008540DD">
              <w:trPr>
                <w:trHeight w:val="300"/>
                <w:jc w:val="center"/>
              </w:trPr>
              <w:tc>
                <w:tcPr>
                  <w:tcW w:w="2080" w:type="dxa"/>
                  <w:shd w:val="clear" w:color="auto" w:fill="auto"/>
                  <w:noWrap/>
                  <w:vAlign w:val="bottom"/>
                </w:tcPr>
                <w:p w14:paraId="23B13B3C" w14:textId="504FA083" w:rsidR="008540DD" w:rsidRPr="00055F08" w:rsidRDefault="008540DD" w:rsidP="003C0696">
                  <w:pPr>
                    <w:spacing w:after="0" w:line="240" w:lineRule="auto"/>
                    <w:rPr>
                      <w:rFonts w:eastAsia="Times New Roman" w:cs="Calibri"/>
                      <w:lang w:val="es-MX"/>
                    </w:rPr>
                  </w:pPr>
                  <w:r w:rsidRPr="00055F08">
                    <w:rPr>
                      <w:rFonts w:eastAsia="Times New Roman" w:cs="Calibri"/>
                      <w:lang w:val="es-MX"/>
                    </w:rPr>
                    <w:t>Xochimilco</w:t>
                  </w:r>
                </w:p>
              </w:tc>
              <w:tc>
                <w:tcPr>
                  <w:tcW w:w="3000" w:type="dxa"/>
                  <w:shd w:val="clear" w:color="auto" w:fill="auto"/>
                  <w:noWrap/>
                  <w:vAlign w:val="bottom"/>
                </w:tcPr>
                <w:p w14:paraId="613A261E" w14:textId="19CD9463" w:rsidR="008540DD" w:rsidRPr="00055F08" w:rsidRDefault="008540DD" w:rsidP="003C0696">
                  <w:pPr>
                    <w:spacing w:after="0" w:line="240" w:lineRule="auto"/>
                    <w:jc w:val="center"/>
                    <w:rPr>
                      <w:rFonts w:eastAsia="Times New Roman" w:cs="Calibri"/>
                      <w:lang w:val="es-MX"/>
                    </w:rPr>
                  </w:pPr>
                  <w:r w:rsidRPr="00055F08">
                    <w:rPr>
                      <w:rFonts w:eastAsia="Times New Roman" w:cs="Calibri"/>
                      <w:lang w:val="es-MX"/>
                    </w:rPr>
                    <w:t>1</w:t>
                  </w:r>
                </w:p>
              </w:tc>
            </w:tr>
            <w:tr w:rsidR="00055F08" w:rsidRPr="00055F08" w14:paraId="6406CCCE" w14:textId="77777777" w:rsidTr="008540DD">
              <w:trPr>
                <w:trHeight w:val="300"/>
                <w:jc w:val="center"/>
              </w:trPr>
              <w:tc>
                <w:tcPr>
                  <w:tcW w:w="2080" w:type="dxa"/>
                  <w:shd w:val="clear" w:color="DDEBF7" w:fill="DDEBF7"/>
                  <w:noWrap/>
                  <w:vAlign w:val="bottom"/>
                  <w:hideMark/>
                </w:tcPr>
                <w:p w14:paraId="1721F3F7" w14:textId="09C9EE0D" w:rsidR="003C0696" w:rsidRPr="00055F08" w:rsidRDefault="003C0696" w:rsidP="003C0696">
                  <w:pPr>
                    <w:spacing w:after="0" w:line="240" w:lineRule="auto"/>
                    <w:rPr>
                      <w:rFonts w:eastAsia="Times New Roman" w:cs="Calibri"/>
                      <w:b/>
                      <w:bCs/>
                      <w:lang w:val="es-MX"/>
                    </w:rPr>
                  </w:pPr>
                  <w:r w:rsidRPr="00055F08">
                    <w:rPr>
                      <w:rFonts w:eastAsia="Times New Roman" w:cs="Calibri"/>
                      <w:b/>
                      <w:bCs/>
                      <w:lang w:val="es-MX"/>
                    </w:rPr>
                    <w:t xml:space="preserve">Total </w:t>
                  </w:r>
                </w:p>
              </w:tc>
              <w:tc>
                <w:tcPr>
                  <w:tcW w:w="3000" w:type="dxa"/>
                  <w:shd w:val="clear" w:color="DDEBF7" w:fill="DDEBF7"/>
                  <w:noWrap/>
                  <w:vAlign w:val="bottom"/>
                  <w:hideMark/>
                </w:tcPr>
                <w:p w14:paraId="0C98FBF6" w14:textId="033AEA86" w:rsidR="003C0696" w:rsidRPr="00055F08" w:rsidRDefault="003C0696" w:rsidP="003C0696">
                  <w:pPr>
                    <w:spacing w:after="0" w:line="240" w:lineRule="auto"/>
                    <w:jc w:val="center"/>
                    <w:rPr>
                      <w:rFonts w:eastAsia="Times New Roman" w:cs="Calibri"/>
                      <w:b/>
                      <w:bCs/>
                      <w:lang w:val="es-MX"/>
                    </w:rPr>
                  </w:pPr>
                  <w:r w:rsidRPr="00055F08">
                    <w:rPr>
                      <w:rFonts w:eastAsia="Times New Roman" w:cs="Calibri"/>
                      <w:b/>
                      <w:bCs/>
                      <w:lang w:val="es-MX"/>
                    </w:rPr>
                    <w:t>4</w:t>
                  </w:r>
                  <w:r w:rsidR="008540DD" w:rsidRPr="00055F08">
                    <w:rPr>
                      <w:rFonts w:eastAsia="Times New Roman" w:cs="Calibri"/>
                      <w:b/>
                      <w:bCs/>
                      <w:lang w:val="es-MX"/>
                    </w:rPr>
                    <w:t>9</w:t>
                  </w:r>
                </w:p>
              </w:tc>
            </w:tr>
          </w:tbl>
          <w:p w14:paraId="012FBE2E" w14:textId="77777777" w:rsidR="003C0696" w:rsidRPr="00055F08" w:rsidRDefault="003C0696">
            <w:pPr>
              <w:spacing w:after="0" w:line="240" w:lineRule="auto"/>
            </w:pPr>
          </w:p>
          <w:p w14:paraId="0000003D" w14:textId="77777777" w:rsidR="00E2405C" w:rsidRPr="00055F08" w:rsidRDefault="00E2405C">
            <w:pPr>
              <w:spacing w:after="0" w:line="240" w:lineRule="auto"/>
            </w:pPr>
          </w:p>
          <w:p w14:paraId="41E6191C" w14:textId="094A1E15" w:rsidR="009F4055" w:rsidRPr="00055F08" w:rsidRDefault="00574E40">
            <w:pPr>
              <w:spacing w:after="0" w:line="240" w:lineRule="auto"/>
            </w:pPr>
            <w:sdt>
              <w:sdtPr>
                <w:tag w:val="goog_rdk_1"/>
                <w:id w:val="2049171486"/>
              </w:sdtPr>
              <w:sdtEndPr/>
              <w:sdtContent>
                <w:r w:rsidR="009F4055" w:rsidRPr="00055F08">
                  <w:t>El número de personas b</w:t>
                </w:r>
              </w:sdtContent>
            </w:sdt>
            <w:r w:rsidR="00B04310" w:rsidRPr="00055F08">
              <w:t>eneficiari</w:t>
            </w:r>
            <w:r w:rsidR="009F4055" w:rsidRPr="00055F08">
              <w:t>a</w:t>
            </w:r>
            <w:r w:rsidR="00B04310" w:rsidRPr="00055F08">
              <w:t>s indirect</w:t>
            </w:r>
            <w:r w:rsidR="009F4055" w:rsidRPr="00055F08">
              <w:t>a</w:t>
            </w:r>
            <w:r w:rsidR="00B04310" w:rsidRPr="00055F08">
              <w:t>s</w:t>
            </w:r>
            <w:r w:rsidR="009F4055" w:rsidRPr="00055F08">
              <w:t xml:space="preserve"> </w:t>
            </w:r>
            <w:r w:rsidR="00055F08" w:rsidRPr="00055F08">
              <w:t xml:space="preserve">fue </w:t>
            </w:r>
            <w:r w:rsidR="009F4055" w:rsidRPr="00055F08">
              <w:t>de 450.</w:t>
            </w:r>
            <w:r w:rsidR="00B04310" w:rsidRPr="00055F08">
              <w:t xml:space="preserve"> </w:t>
            </w:r>
          </w:p>
          <w:p w14:paraId="0000003F" w14:textId="024C63A6" w:rsidR="00E2405C" w:rsidRPr="00055F08" w:rsidRDefault="009F4055">
            <w:pPr>
              <w:spacing w:after="0" w:line="240" w:lineRule="auto"/>
            </w:pPr>
            <w:r w:rsidRPr="00055F08">
              <w:t xml:space="preserve">Se calculó de la siguiente manera: Familiares, amistades y vecinos de las participantes = 10 por 45 mujeres de base </w:t>
            </w:r>
          </w:p>
          <w:p w14:paraId="4E4A4972" w14:textId="77777777" w:rsidR="009F4055" w:rsidRPr="00055F08" w:rsidRDefault="009F4055">
            <w:pPr>
              <w:spacing w:after="0" w:line="240" w:lineRule="auto"/>
            </w:pPr>
          </w:p>
          <w:p w14:paraId="5B78A318" w14:textId="4694EB80" w:rsidR="00E94B00" w:rsidRPr="00055F08" w:rsidRDefault="008540DD">
            <w:pPr>
              <w:spacing w:after="0" w:line="240" w:lineRule="auto"/>
            </w:pPr>
            <w:r w:rsidRPr="00055F08">
              <w:t>Además, p</w:t>
            </w:r>
            <w:r w:rsidR="00E94B00" w:rsidRPr="00055F08">
              <w:t xml:space="preserve">or medio de la campaña de comunicación en </w:t>
            </w:r>
            <w:r w:rsidR="00B04310" w:rsidRPr="00055F08">
              <w:t>redes sociales</w:t>
            </w:r>
            <w:r w:rsidR="00E94B00" w:rsidRPr="00055F08">
              <w:t xml:space="preserve"> (Facebook), se generó lo siguiente:</w:t>
            </w:r>
          </w:p>
          <w:p w14:paraId="61B1B220" w14:textId="77777777" w:rsidR="00E94B00" w:rsidRPr="00055F08" w:rsidRDefault="00E94B00">
            <w:pPr>
              <w:spacing w:after="0" w:line="240" w:lineRule="auto"/>
            </w:pPr>
          </w:p>
          <w:tbl>
            <w:tblPr>
              <w:tblStyle w:val="Tablaconcuadrcula"/>
              <w:tblW w:w="0" w:type="auto"/>
              <w:jc w:val="center"/>
              <w:tblLayout w:type="fixed"/>
              <w:tblLook w:val="04A0" w:firstRow="1" w:lastRow="0" w:firstColumn="1" w:lastColumn="0" w:noHBand="0" w:noVBand="1"/>
            </w:tblPr>
            <w:tblGrid>
              <w:gridCol w:w="1360"/>
              <w:gridCol w:w="1802"/>
              <w:gridCol w:w="1032"/>
            </w:tblGrid>
            <w:tr w:rsidR="00055F08" w:rsidRPr="00055F08" w14:paraId="2B55635A" w14:textId="6DBFE696" w:rsidTr="00E94B00">
              <w:trPr>
                <w:jc w:val="center"/>
              </w:trPr>
              <w:tc>
                <w:tcPr>
                  <w:tcW w:w="1360" w:type="dxa"/>
                  <w:vMerge w:val="restart"/>
                </w:tcPr>
                <w:p w14:paraId="2981D0D2" w14:textId="3797E9EC" w:rsidR="00E94B00" w:rsidRPr="00055F08" w:rsidRDefault="00E94B00" w:rsidP="00E94B00">
                  <w:r w:rsidRPr="00055F08">
                    <w:t xml:space="preserve">Orgánico </w:t>
                  </w:r>
                </w:p>
              </w:tc>
              <w:tc>
                <w:tcPr>
                  <w:tcW w:w="1802" w:type="dxa"/>
                </w:tcPr>
                <w:p w14:paraId="7434DED4" w14:textId="37C68473" w:rsidR="00E94B00" w:rsidRPr="00055F08" w:rsidRDefault="00E94B00" w:rsidP="00E94B00">
                  <w:r w:rsidRPr="00055F08">
                    <w:t>Alcance*</w:t>
                  </w:r>
                </w:p>
              </w:tc>
              <w:tc>
                <w:tcPr>
                  <w:tcW w:w="1032" w:type="dxa"/>
                </w:tcPr>
                <w:p w14:paraId="75FE0578" w14:textId="3B91687F" w:rsidR="00E94B00" w:rsidRPr="00055F08" w:rsidRDefault="00E94B00" w:rsidP="00E94B00">
                  <w:pPr>
                    <w:jc w:val="right"/>
                  </w:pPr>
                  <w:r w:rsidRPr="00055F08">
                    <w:t>9,964</w:t>
                  </w:r>
                </w:p>
              </w:tc>
            </w:tr>
            <w:tr w:rsidR="00055F08" w:rsidRPr="00055F08" w14:paraId="6C04022F" w14:textId="2D24CBE6" w:rsidTr="00E94B00">
              <w:trPr>
                <w:jc w:val="center"/>
              </w:trPr>
              <w:tc>
                <w:tcPr>
                  <w:tcW w:w="1360" w:type="dxa"/>
                  <w:vMerge/>
                </w:tcPr>
                <w:p w14:paraId="05D142C0" w14:textId="77777777" w:rsidR="00E94B00" w:rsidRPr="00055F08" w:rsidRDefault="00E94B00" w:rsidP="00E94B00"/>
              </w:tc>
              <w:tc>
                <w:tcPr>
                  <w:tcW w:w="1802" w:type="dxa"/>
                </w:tcPr>
                <w:p w14:paraId="47FA6510" w14:textId="3EF85846" w:rsidR="00E94B00" w:rsidRPr="00055F08" w:rsidRDefault="00E94B00" w:rsidP="00E94B00">
                  <w:r w:rsidRPr="00055F08">
                    <w:t>Interacciones**</w:t>
                  </w:r>
                </w:p>
              </w:tc>
              <w:tc>
                <w:tcPr>
                  <w:tcW w:w="1032" w:type="dxa"/>
                </w:tcPr>
                <w:p w14:paraId="77AF0168" w14:textId="732332E8" w:rsidR="00E94B00" w:rsidRPr="00055F08" w:rsidRDefault="00E94B00" w:rsidP="00E94B00">
                  <w:pPr>
                    <w:jc w:val="right"/>
                  </w:pPr>
                  <w:r w:rsidRPr="00055F08">
                    <w:t>1,006</w:t>
                  </w:r>
                </w:p>
              </w:tc>
            </w:tr>
            <w:tr w:rsidR="00055F08" w:rsidRPr="00055F08" w14:paraId="37A9B663" w14:textId="0FD5DE3B" w:rsidTr="00E94B00">
              <w:trPr>
                <w:jc w:val="center"/>
              </w:trPr>
              <w:tc>
                <w:tcPr>
                  <w:tcW w:w="1360" w:type="dxa"/>
                  <w:vMerge w:val="restart"/>
                </w:tcPr>
                <w:p w14:paraId="70D4AA13" w14:textId="08293D02" w:rsidR="00E94B00" w:rsidRPr="00055F08" w:rsidRDefault="00E94B00" w:rsidP="00E94B00">
                  <w:r w:rsidRPr="00055F08">
                    <w:t>Pagado</w:t>
                  </w:r>
                </w:p>
              </w:tc>
              <w:tc>
                <w:tcPr>
                  <w:tcW w:w="1802" w:type="dxa"/>
                </w:tcPr>
                <w:p w14:paraId="298D9569" w14:textId="0CB3E8BD" w:rsidR="00E94B00" w:rsidRPr="00055F08" w:rsidRDefault="00E94B00" w:rsidP="00E94B00">
                  <w:r w:rsidRPr="00055F08">
                    <w:t>Alcance</w:t>
                  </w:r>
                </w:p>
              </w:tc>
              <w:tc>
                <w:tcPr>
                  <w:tcW w:w="1032" w:type="dxa"/>
                </w:tcPr>
                <w:p w14:paraId="1ABB4332" w14:textId="1ED90DE4" w:rsidR="00E94B00" w:rsidRPr="00055F08" w:rsidRDefault="00E94B00" w:rsidP="00E94B00">
                  <w:pPr>
                    <w:jc w:val="right"/>
                  </w:pPr>
                  <w:r w:rsidRPr="00055F08">
                    <w:t>24,000</w:t>
                  </w:r>
                </w:p>
              </w:tc>
            </w:tr>
            <w:tr w:rsidR="00055F08" w:rsidRPr="00055F08" w14:paraId="69BE6563" w14:textId="77777777" w:rsidTr="00E94B00">
              <w:trPr>
                <w:jc w:val="center"/>
              </w:trPr>
              <w:tc>
                <w:tcPr>
                  <w:tcW w:w="1360" w:type="dxa"/>
                  <w:vMerge/>
                </w:tcPr>
                <w:p w14:paraId="73ABF83B" w14:textId="77777777" w:rsidR="00E94B00" w:rsidRPr="00055F08" w:rsidRDefault="00E94B00" w:rsidP="00E94B00"/>
              </w:tc>
              <w:tc>
                <w:tcPr>
                  <w:tcW w:w="1802" w:type="dxa"/>
                </w:tcPr>
                <w:p w14:paraId="275EE6DF" w14:textId="6CF4491D" w:rsidR="00E94B00" w:rsidRPr="00055F08" w:rsidRDefault="00E94B00" w:rsidP="00E94B00">
                  <w:r w:rsidRPr="00055F08">
                    <w:t>Interacciones</w:t>
                  </w:r>
                </w:p>
              </w:tc>
              <w:tc>
                <w:tcPr>
                  <w:tcW w:w="1032" w:type="dxa"/>
                </w:tcPr>
                <w:p w14:paraId="7ECBC12A" w14:textId="08B05B3E" w:rsidR="00E94B00" w:rsidRPr="00055F08" w:rsidRDefault="00E94B00" w:rsidP="00E94B00">
                  <w:pPr>
                    <w:jc w:val="right"/>
                  </w:pPr>
                  <w:r w:rsidRPr="00055F08">
                    <w:t>120</w:t>
                  </w:r>
                </w:p>
              </w:tc>
            </w:tr>
          </w:tbl>
          <w:p w14:paraId="00000040" w14:textId="2CC59445" w:rsidR="00E2405C" w:rsidRPr="00055F08" w:rsidRDefault="00E94B00" w:rsidP="00E94B00">
            <w:pPr>
              <w:spacing w:after="0" w:line="240" w:lineRule="auto"/>
              <w:ind w:left="720"/>
              <w:rPr>
                <w:sz w:val="18"/>
                <w:szCs w:val="18"/>
              </w:rPr>
            </w:pPr>
            <w:r w:rsidRPr="00055F08">
              <w:rPr>
                <w:sz w:val="18"/>
                <w:szCs w:val="18"/>
              </w:rPr>
              <w:t>* Alcance: Usuarios que ven las publicaciones</w:t>
            </w:r>
          </w:p>
          <w:p w14:paraId="32D5E506" w14:textId="0881F5E2" w:rsidR="00E94B00" w:rsidRPr="00055F08" w:rsidRDefault="00E94B00" w:rsidP="00E94B00">
            <w:pPr>
              <w:spacing w:after="0" w:line="240" w:lineRule="auto"/>
              <w:ind w:left="720"/>
              <w:rPr>
                <w:sz w:val="18"/>
                <w:szCs w:val="18"/>
              </w:rPr>
            </w:pPr>
            <w:r w:rsidRPr="00055F08">
              <w:rPr>
                <w:sz w:val="18"/>
                <w:szCs w:val="18"/>
              </w:rPr>
              <w:t>** Interacciones: Usuarios que dan respuesta a las publicaciones</w:t>
            </w:r>
          </w:p>
          <w:p w14:paraId="00000043" w14:textId="77777777" w:rsidR="00E2405C" w:rsidRPr="00055F08" w:rsidRDefault="00E2405C">
            <w:pPr>
              <w:spacing w:after="0" w:line="240" w:lineRule="auto"/>
            </w:pPr>
          </w:p>
        </w:tc>
      </w:tr>
      <w:tr w:rsidR="00E2405C" w14:paraId="73D84C62" w14:textId="77777777">
        <w:trPr>
          <w:trHeight w:val="120"/>
        </w:trPr>
        <w:tc>
          <w:tcPr>
            <w:tcW w:w="2913" w:type="dxa"/>
            <w:shd w:val="clear" w:color="auto" w:fill="auto"/>
            <w:vAlign w:val="center"/>
          </w:tcPr>
          <w:p w14:paraId="00000044" w14:textId="77777777" w:rsidR="00E2405C" w:rsidRDefault="00B04310">
            <w:pPr>
              <w:spacing w:after="0" w:line="240" w:lineRule="auto"/>
              <w:rPr>
                <w:b/>
                <w:color w:val="000000"/>
              </w:rPr>
            </w:pPr>
            <w:r>
              <w:rPr>
                <w:b/>
                <w:color w:val="000000"/>
              </w:rPr>
              <w:lastRenderedPageBreak/>
              <w:t>Herramienta(s) de acceso a la información o de protección de datos personales utilizada(s)</w:t>
            </w:r>
          </w:p>
        </w:tc>
        <w:tc>
          <w:tcPr>
            <w:tcW w:w="5915" w:type="dxa"/>
            <w:shd w:val="clear" w:color="auto" w:fill="auto"/>
          </w:tcPr>
          <w:p w14:paraId="6794CF12" w14:textId="77777777" w:rsidR="008540DD" w:rsidRDefault="008540DD" w:rsidP="008540DD">
            <w:pPr>
              <w:pStyle w:val="Prrafodelista"/>
              <w:spacing w:after="0" w:line="240" w:lineRule="auto"/>
              <w:ind w:left="360"/>
            </w:pPr>
          </w:p>
          <w:p w14:paraId="00000045" w14:textId="5A1B623E" w:rsidR="00E2405C" w:rsidRPr="009F4055" w:rsidRDefault="00B04310" w:rsidP="009F4055">
            <w:pPr>
              <w:pStyle w:val="Prrafodelista"/>
              <w:numPr>
                <w:ilvl w:val="0"/>
                <w:numId w:val="7"/>
              </w:numPr>
              <w:spacing w:after="0" w:line="240" w:lineRule="auto"/>
            </w:pPr>
            <w:r w:rsidRPr="009F4055">
              <w:t>Plataforma Nacional de Transparencia</w:t>
            </w:r>
          </w:p>
          <w:p w14:paraId="00000046" w14:textId="37647631" w:rsidR="00E2405C" w:rsidRPr="009F4055" w:rsidRDefault="009F4055" w:rsidP="009F4055">
            <w:pPr>
              <w:pStyle w:val="Prrafodelista"/>
              <w:numPr>
                <w:ilvl w:val="0"/>
                <w:numId w:val="7"/>
              </w:numPr>
              <w:spacing w:after="0" w:line="240" w:lineRule="auto"/>
            </w:pPr>
            <w:r>
              <w:t xml:space="preserve">Plataforma </w:t>
            </w:r>
            <w:proofErr w:type="spellStart"/>
            <w:r w:rsidR="00B04310" w:rsidRPr="009F4055">
              <w:t>Infomex</w:t>
            </w:r>
            <w:proofErr w:type="spellEnd"/>
            <w:r w:rsidR="00B04310" w:rsidRPr="009F4055">
              <w:t xml:space="preserve"> D.F</w:t>
            </w:r>
            <w:r w:rsidR="007D1B8A">
              <w:t>.</w:t>
            </w:r>
          </w:p>
          <w:p w14:paraId="00000047" w14:textId="30CB46A1" w:rsidR="00E2405C" w:rsidRPr="009F4055" w:rsidRDefault="009F4055" w:rsidP="009F4055">
            <w:pPr>
              <w:pStyle w:val="Prrafodelista"/>
              <w:numPr>
                <w:ilvl w:val="0"/>
                <w:numId w:val="7"/>
              </w:numPr>
              <w:spacing w:after="0" w:line="240" w:lineRule="auto"/>
            </w:pPr>
            <w:r>
              <w:t xml:space="preserve">Plataforma </w:t>
            </w:r>
            <w:r w:rsidR="00B04310" w:rsidRPr="009F4055">
              <w:t xml:space="preserve">SAIMEX </w:t>
            </w:r>
            <w:r>
              <w:t>– Estado de México</w:t>
            </w:r>
          </w:p>
          <w:p w14:paraId="00000048" w14:textId="6A6EBEBA" w:rsidR="00E2405C" w:rsidRPr="009F4055" w:rsidRDefault="00B04310" w:rsidP="009F4055">
            <w:pPr>
              <w:pStyle w:val="Prrafodelista"/>
              <w:numPr>
                <w:ilvl w:val="0"/>
                <w:numId w:val="7"/>
              </w:numPr>
              <w:spacing w:after="0" w:line="240" w:lineRule="auto"/>
            </w:pPr>
            <w:r w:rsidRPr="009F4055">
              <w:t>Portales de transparencia de las Alcaldías (Tlalpan, Cuauhtémoc, Benito Juárez</w:t>
            </w:r>
            <w:r w:rsidR="009F4055">
              <w:t>, Venustiano Carranza</w:t>
            </w:r>
            <w:r w:rsidRPr="009F4055">
              <w:t>)</w:t>
            </w:r>
          </w:p>
          <w:p w14:paraId="00000049" w14:textId="7510E61D" w:rsidR="00E2405C" w:rsidRPr="009F4055" w:rsidRDefault="00B04310" w:rsidP="009F4055">
            <w:pPr>
              <w:pStyle w:val="Prrafodelista"/>
              <w:numPr>
                <w:ilvl w:val="0"/>
                <w:numId w:val="7"/>
              </w:numPr>
              <w:spacing w:after="0" w:line="240" w:lineRule="auto"/>
            </w:pPr>
            <w:r w:rsidRPr="009F4055">
              <w:t>Portales de transparencia de los Municipios (Chalco, Metepec, Jiquipilco, Toluca)</w:t>
            </w:r>
          </w:p>
          <w:p w14:paraId="0000004A" w14:textId="2EBD68BB" w:rsidR="00E2405C" w:rsidRPr="009F4055" w:rsidRDefault="00B04310" w:rsidP="009F4055">
            <w:pPr>
              <w:pStyle w:val="Prrafodelista"/>
              <w:numPr>
                <w:ilvl w:val="0"/>
                <w:numId w:val="7"/>
              </w:numPr>
              <w:spacing w:after="0" w:line="240" w:lineRule="auto"/>
            </w:pPr>
            <w:r w:rsidRPr="009F4055">
              <w:t xml:space="preserve">Portales de transparencia de dependencias </w:t>
            </w:r>
            <w:r w:rsidR="00055F08">
              <w:t xml:space="preserve">y entidades </w:t>
            </w:r>
            <w:r w:rsidRPr="009F4055">
              <w:t>(Seguridad Ciudadana CDMX, Comisión Estatal de la Mujer del Edomex</w:t>
            </w:r>
            <w:r w:rsidR="009F4055">
              <w:t xml:space="preserve">, </w:t>
            </w:r>
            <w:r w:rsidR="007D1B8A">
              <w:t>Sistema de Aguas CDMX</w:t>
            </w:r>
            <w:r w:rsidRPr="009F4055">
              <w:t>)</w:t>
            </w:r>
          </w:p>
          <w:p w14:paraId="61E1EA82" w14:textId="77777777" w:rsidR="00E2405C" w:rsidRDefault="00B04310" w:rsidP="009F4055">
            <w:pPr>
              <w:pStyle w:val="Prrafodelista"/>
              <w:numPr>
                <w:ilvl w:val="0"/>
                <w:numId w:val="7"/>
              </w:numPr>
              <w:spacing w:after="0" w:line="240" w:lineRule="auto"/>
            </w:pPr>
            <w:r w:rsidRPr="009F4055">
              <w:t>TEL-INAI</w:t>
            </w:r>
          </w:p>
          <w:p w14:paraId="0000004B" w14:textId="52D8CA9E" w:rsidR="008540DD" w:rsidRPr="009F4055" w:rsidRDefault="008540DD" w:rsidP="008540DD">
            <w:pPr>
              <w:pStyle w:val="Prrafodelista"/>
              <w:spacing w:after="0" w:line="240" w:lineRule="auto"/>
              <w:ind w:left="360"/>
            </w:pPr>
          </w:p>
        </w:tc>
      </w:tr>
      <w:tr w:rsidR="00E2405C" w14:paraId="4BDC6263" w14:textId="77777777">
        <w:trPr>
          <w:trHeight w:val="120"/>
        </w:trPr>
        <w:tc>
          <w:tcPr>
            <w:tcW w:w="2913" w:type="dxa"/>
            <w:shd w:val="clear" w:color="auto" w:fill="auto"/>
            <w:vAlign w:val="center"/>
          </w:tcPr>
          <w:p w14:paraId="0000004C" w14:textId="77777777" w:rsidR="00E2405C" w:rsidRDefault="00E2405C">
            <w:pPr>
              <w:spacing w:after="0" w:line="240" w:lineRule="auto"/>
              <w:rPr>
                <w:b/>
                <w:color w:val="000000"/>
              </w:rPr>
            </w:pPr>
          </w:p>
          <w:p w14:paraId="0000004D" w14:textId="77777777" w:rsidR="00E2405C" w:rsidRDefault="00B04310">
            <w:pPr>
              <w:spacing w:after="0" w:line="240" w:lineRule="auto"/>
              <w:rPr>
                <w:b/>
                <w:color w:val="000000"/>
              </w:rPr>
            </w:pPr>
            <w:r>
              <w:rPr>
                <w:b/>
                <w:color w:val="000000"/>
              </w:rPr>
              <w:lastRenderedPageBreak/>
              <w:t xml:space="preserve">Número de solicitudes de información o de Aviso(s) de Privacidad realizados </w:t>
            </w:r>
          </w:p>
          <w:p w14:paraId="0000004E" w14:textId="77777777" w:rsidR="00E2405C" w:rsidRDefault="00E2405C">
            <w:pPr>
              <w:spacing w:after="0" w:line="240" w:lineRule="auto"/>
              <w:rPr>
                <w:b/>
                <w:color w:val="000000"/>
              </w:rPr>
            </w:pPr>
          </w:p>
        </w:tc>
        <w:tc>
          <w:tcPr>
            <w:tcW w:w="5915" w:type="dxa"/>
            <w:shd w:val="clear" w:color="auto" w:fill="auto"/>
          </w:tcPr>
          <w:p w14:paraId="0000004F" w14:textId="77777777" w:rsidR="00E2405C" w:rsidRPr="00CA37BB" w:rsidRDefault="00E2405C">
            <w:pPr>
              <w:spacing w:after="0" w:line="240" w:lineRule="auto"/>
              <w:jc w:val="both"/>
            </w:pPr>
          </w:p>
          <w:p w14:paraId="00000050" w14:textId="4CC13BC9" w:rsidR="00E2405C" w:rsidRPr="00CA37BB" w:rsidRDefault="00574E40">
            <w:pPr>
              <w:spacing w:after="0" w:line="240" w:lineRule="auto"/>
              <w:jc w:val="both"/>
            </w:pPr>
            <w:sdt>
              <w:sdtPr>
                <w:tag w:val="goog_rdk_2"/>
                <w:id w:val="-1746023600"/>
              </w:sdtPr>
              <w:sdtEndPr/>
              <w:sdtContent/>
            </w:sdt>
            <w:sdt>
              <w:sdtPr>
                <w:tag w:val="goog_rdk_3"/>
                <w:id w:val="852307907"/>
              </w:sdtPr>
              <w:sdtEndPr/>
              <w:sdtContent/>
            </w:sdt>
            <w:r w:rsidR="007E4C1C">
              <w:t xml:space="preserve">Como parte de los ejercicios de vigilancia ciudadana realizados en el proyecto, </w:t>
            </w:r>
            <w:r w:rsidR="00055F08">
              <w:t xml:space="preserve">las mujeres participantes </w:t>
            </w:r>
            <w:r w:rsidR="007E4C1C">
              <w:t>presentaron 48</w:t>
            </w:r>
            <w:r w:rsidR="00B04310" w:rsidRPr="00CA37BB">
              <w:t xml:space="preserve"> solicitudes de información </w:t>
            </w:r>
            <w:r w:rsidR="007E4C1C">
              <w:t xml:space="preserve">a diversos sujetos obligados. A continuación, se presentan los datos desagregados: </w:t>
            </w:r>
            <w:r w:rsidR="00B04310" w:rsidRPr="00CA37BB">
              <w:t xml:space="preserve"> </w:t>
            </w:r>
          </w:p>
          <w:p w14:paraId="1BE14EC4" w14:textId="77777777" w:rsidR="00E2405C" w:rsidRDefault="00E2405C">
            <w:pPr>
              <w:spacing w:after="0" w:line="240" w:lineRule="auto"/>
              <w:jc w:val="both"/>
            </w:pPr>
          </w:p>
          <w:tbl>
            <w:tblPr>
              <w:tblW w:w="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0"/>
              <w:gridCol w:w="1320"/>
            </w:tblGrid>
            <w:tr w:rsidR="009E7C77" w:rsidRPr="009E7C77" w14:paraId="0673734E" w14:textId="77777777" w:rsidTr="009E7C77">
              <w:trPr>
                <w:trHeight w:val="315"/>
                <w:jc w:val="center"/>
              </w:trPr>
              <w:tc>
                <w:tcPr>
                  <w:tcW w:w="2560" w:type="dxa"/>
                  <w:shd w:val="clear" w:color="auto" w:fill="auto"/>
                  <w:noWrap/>
                  <w:vAlign w:val="bottom"/>
                  <w:hideMark/>
                </w:tcPr>
                <w:p w14:paraId="1A19359E" w14:textId="22A98A4D" w:rsidR="009E7C77" w:rsidRPr="009E7C77" w:rsidRDefault="009E7C77" w:rsidP="009E7C77">
                  <w:pPr>
                    <w:spacing w:after="0" w:line="240" w:lineRule="auto"/>
                    <w:jc w:val="center"/>
                    <w:rPr>
                      <w:rFonts w:eastAsia="Times New Roman" w:cs="Calibri"/>
                      <w:b/>
                      <w:bCs/>
                      <w:color w:val="000000"/>
                      <w:lang w:val="es-MX"/>
                    </w:rPr>
                  </w:pPr>
                  <w:r w:rsidRPr="007E4C1C">
                    <w:rPr>
                      <w:rFonts w:eastAsia="Times New Roman" w:cs="Calibri"/>
                      <w:b/>
                      <w:bCs/>
                      <w:color w:val="000000"/>
                      <w:lang w:val="es-MX"/>
                    </w:rPr>
                    <w:t>Sujeto Obligado</w:t>
                  </w:r>
                </w:p>
              </w:tc>
              <w:tc>
                <w:tcPr>
                  <w:tcW w:w="1320" w:type="dxa"/>
                  <w:shd w:val="clear" w:color="auto" w:fill="auto"/>
                  <w:noWrap/>
                  <w:vAlign w:val="bottom"/>
                  <w:hideMark/>
                </w:tcPr>
                <w:p w14:paraId="542ABBCC" w14:textId="2F8579BE" w:rsidR="009E7C77" w:rsidRPr="009E7C77" w:rsidRDefault="009E7C77" w:rsidP="009E7C77">
                  <w:pPr>
                    <w:spacing w:after="0" w:line="240" w:lineRule="auto"/>
                    <w:jc w:val="center"/>
                    <w:rPr>
                      <w:rFonts w:eastAsia="Times New Roman" w:cs="Calibri"/>
                      <w:b/>
                      <w:bCs/>
                      <w:color w:val="000000"/>
                      <w:lang w:val="es-MX"/>
                    </w:rPr>
                  </w:pPr>
                  <w:r w:rsidRPr="007E4C1C">
                    <w:rPr>
                      <w:rFonts w:eastAsia="Times New Roman" w:cs="Calibri"/>
                      <w:b/>
                      <w:bCs/>
                      <w:color w:val="000000"/>
                      <w:lang w:val="es-MX"/>
                    </w:rPr>
                    <w:t>No. de solicitudes</w:t>
                  </w:r>
                </w:p>
              </w:tc>
            </w:tr>
            <w:tr w:rsidR="009E7C77" w:rsidRPr="009E7C77" w14:paraId="1FA6AC3F" w14:textId="77777777" w:rsidTr="009E7C77">
              <w:trPr>
                <w:trHeight w:val="315"/>
                <w:jc w:val="center"/>
              </w:trPr>
              <w:tc>
                <w:tcPr>
                  <w:tcW w:w="2560" w:type="dxa"/>
                  <w:shd w:val="clear" w:color="auto" w:fill="auto"/>
                  <w:vAlign w:val="bottom"/>
                  <w:hideMark/>
                </w:tcPr>
                <w:p w14:paraId="161B23EC" w14:textId="77777777" w:rsidR="009E7C77" w:rsidRPr="009E7C77" w:rsidRDefault="009E7C77" w:rsidP="009E7C77">
                  <w:pPr>
                    <w:spacing w:after="0" w:line="240" w:lineRule="auto"/>
                    <w:rPr>
                      <w:rFonts w:eastAsia="Times New Roman" w:cs="Calibri"/>
                      <w:color w:val="000000"/>
                      <w:lang w:val="es-MX"/>
                    </w:rPr>
                  </w:pPr>
                  <w:r w:rsidRPr="009E7C77">
                    <w:rPr>
                      <w:rFonts w:eastAsia="Times New Roman" w:cs="Calibri"/>
                      <w:color w:val="000000"/>
                      <w:lang w:val="es-MX"/>
                    </w:rPr>
                    <w:t>Alcaldía Benito Juárez</w:t>
                  </w:r>
                </w:p>
              </w:tc>
              <w:tc>
                <w:tcPr>
                  <w:tcW w:w="1320" w:type="dxa"/>
                  <w:shd w:val="clear" w:color="auto" w:fill="auto"/>
                  <w:noWrap/>
                  <w:vAlign w:val="bottom"/>
                  <w:hideMark/>
                </w:tcPr>
                <w:p w14:paraId="2A3DCB22" w14:textId="1EADAAE0" w:rsidR="009E7C77" w:rsidRPr="009E7C77" w:rsidRDefault="009E7C77" w:rsidP="009E7C77">
                  <w:pPr>
                    <w:spacing w:after="0" w:line="240" w:lineRule="auto"/>
                    <w:jc w:val="center"/>
                    <w:rPr>
                      <w:rFonts w:eastAsia="Times New Roman" w:cs="Calibri"/>
                      <w:color w:val="000000"/>
                      <w:lang w:val="es-MX"/>
                    </w:rPr>
                  </w:pPr>
                  <w:r w:rsidRPr="009E7C77">
                    <w:rPr>
                      <w:rFonts w:eastAsia="Times New Roman" w:cs="Calibri"/>
                      <w:color w:val="000000"/>
                      <w:lang w:val="es-MX"/>
                    </w:rPr>
                    <w:t>2</w:t>
                  </w:r>
                  <w:r w:rsidRPr="007E4C1C">
                    <w:rPr>
                      <w:rFonts w:eastAsia="Times New Roman" w:cs="Calibri"/>
                      <w:color w:val="000000"/>
                      <w:lang w:val="es-MX"/>
                    </w:rPr>
                    <w:t>4</w:t>
                  </w:r>
                </w:p>
              </w:tc>
            </w:tr>
            <w:tr w:rsidR="009E7C77" w:rsidRPr="009E7C77" w14:paraId="2C934C2D" w14:textId="77777777" w:rsidTr="009E7C77">
              <w:trPr>
                <w:trHeight w:val="315"/>
                <w:jc w:val="center"/>
              </w:trPr>
              <w:tc>
                <w:tcPr>
                  <w:tcW w:w="2560" w:type="dxa"/>
                  <w:shd w:val="clear" w:color="auto" w:fill="auto"/>
                  <w:vAlign w:val="bottom"/>
                  <w:hideMark/>
                </w:tcPr>
                <w:p w14:paraId="582ABF02" w14:textId="77777777" w:rsidR="009E7C77" w:rsidRPr="009E7C77" w:rsidRDefault="009E7C77" w:rsidP="009E7C77">
                  <w:pPr>
                    <w:spacing w:after="0" w:line="240" w:lineRule="auto"/>
                    <w:rPr>
                      <w:rFonts w:eastAsia="Times New Roman" w:cs="Calibri"/>
                      <w:color w:val="000000"/>
                      <w:lang w:val="es-MX"/>
                    </w:rPr>
                  </w:pPr>
                  <w:r w:rsidRPr="009E7C77">
                    <w:rPr>
                      <w:rFonts w:eastAsia="Times New Roman" w:cs="Calibri"/>
                      <w:color w:val="000000"/>
                      <w:lang w:val="es-MX"/>
                    </w:rPr>
                    <w:t>Alcaldía de Tlalpan</w:t>
                  </w:r>
                </w:p>
              </w:tc>
              <w:tc>
                <w:tcPr>
                  <w:tcW w:w="1320" w:type="dxa"/>
                  <w:shd w:val="clear" w:color="auto" w:fill="auto"/>
                  <w:noWrap/>
                  <w:vAlign w:val="bottom"/>
                  <w:hideMark/>
                </w:tcPr>
                <w:p w14:paraId="7AEE8C8F" w14:textId="29C75BF6" w:rsidR="009E7C77" w:rsidRPr="009E7C77" w:rsidRDefault="009E7C77" w:rsidP="009E7C77">
                  <w:pPr>
                    <w:spacing w:after="0" w:line="240" w:lineRule="auto"/>
                    <w:jc w:val="center"/>
                    <w:rPr>
                      <w:rFonts w:eastAsia="Times New Roman" w:cs="Calibri"/>
                      <w:color w:val="000000"/>
                      <w:lang w:val="es-MX"/>
                    </w:rPr>
                  </w:pPr>
                  <w:r w:rsidRPr="007E4C1C">
                    <w:rPr>
                      <w:rFonts w:eastAsia="Times New Roman" w:cs="Calibri"/>
                      <w:color w:val="000000"/>
                      <w:lang w:val="es-MX"/>
                    </w:rPr>
                    <w:t>4</w:t>
                  </w:r>
                </w:p>
              </w:tc>
            </w:tr>
            <w:tr w:rsidR="009E7C77" w:rsidRPr="009E7C77" w14:paraId="6EBA6F9E" w14:textId="77777777" w:rsidTr="009E7C77">
              <w:trPr>
                <w:trHeight w:val="315"/>
                <w:jc w:val="center"/>
              </w:trPr>
              <w:tc>
                <w:tcPr>
                  <w:tcW w:w="2560" w:type="dxa"/>
                  <w:shd w:val="clear" w:color="auto" w:fill="auto"/>
                  <w:vAlign w:val="bottom"/>
                  <w:hideMark/>
                </w:tcPr>
                <w:p w14:paraId="29DE2880" w14:textId="77777777" w:rsidR="009E7C77" w:rsidRPr="009E7C77" w:rsidRDefault="009E7C77" w:rsidP="009E7C77">
                  <w:pPr>
                    <w:spacing w:after="0" w:line="240" w:lineRule="auto"/>
                    <w:rPr>
                      <w:rFonts w:eastAsia="Times New Roman" w:cs="Calibri"/>
                      <w:color w:val="000000"/>
                      <w:lang w:val="es-MX"/>
                    </w:rPr>
                  </w:pPr>
                  <w:r w:rsidRPr="009E7C77">
                    <w:rPr>
                      <w:rFonts w:eastAsia="Times New Roman" w:cs="Calibri"/>
                      <w:color w:val="000000"/>
                      <w:lang w:val="es-MX"/>
                    </w:rPr>
                    <w:t>Ayuntamiento de Chalco</w:t>
                  </w:r>
                </w:p>
              </w:tc>
              <w:tc>
                <w:tcPr>
                  <w:tcW w:w="1320" w:type="dxa"/>
                  <w:shd w:val="clear" w:color="auto" w:fill="auto"/>
                  <w:noWrap/>
                  <w:vAlign w:val="bottom"/>
                  <w:hideMark/>
                </w:tcPr>
                <w:p w14:paraId="4AC47B49" w14:textId="77777777" w:rsidR="009E7C77" w:rsidRPr="009E7C77" w:rsidRDefault="009E7C77" w:rsidP="009E7C77">
                  <w:pPr>
                    <w:spacing w:after="0" w:line="240" w:lineRule="auto"/>
                    <w:jc w:val="center"/>
                    <w:rPr>
                      <w:rFonts w:eastAsia="Times New Roman" w:cs="Calibri"/>
                      <w:color w:val="000000"/>
                      <w:lang w:val="es-MX"/>
                    </w:rPr>
                  </w:pPr>
                  <w:r w:rsidRPr="009E7C77">
                    <w:rPr>
                      <w:rFonts w:eastAsia="Times New Roman" w:cs="Calibri"/>
                      <w:color w:val="000000"/>
                      <w:lang w:val="es-MX"/>
                    </w:rPr>
                    <w:t>3</w:t>
                  </w:r>
                </w:p>
              </w:tc>
            </w:tr>
            <w:tr w:rsidR="009E7C77" w:rsidRPr="009E7C77" w14:paraId="58B4C00A" w14:textId="77777777" w:rsidTr="009E7C77">
              <w:trPr>
                <w:trHeight w:val="630"/>
                <w:jc w:val="center"/>
              </w:trPr>
              <w:tc>
                <w:tcPr>
                  <w:tcW w:w="2560" w:type="dxa"/>
                  <w:shd w:val="clear" w:color="auto" w:fill="auto"/>
                  <w:vAlign w:val="bottom"/>
                  <w:hideMark/>
                </w:tcPr>
                <w:p w14:paraId="0158E0E9" w14:textId="77777777" w:rsidR="009E7C77" w:rsidRPr="009E7C77" w:rsidRDefault="009E7C77" w:rsidP="009E7C77">
                  <w:pPr>
                    <w:spacing w:after="0" w:line="240" w:lineRule="auto"/>
                    <w:rPr>
                      <w:rFonts w:eastAsia="Times New Roman" w:cs="Calibri"/>
                      <w:color w:val="000000"/>
                      <w:lang w:val="es-MX"/>
                    </w:rPr>
                  </w:pPr>
                  <w:r w:rsidRPr="009E7C77">
                    <w:rPr>
                      <w:rFonts w:eastAsia="Times New Roman" w:cs="Calibri"/>
                      <w:color w:val="000000"/>
                      <w:lang w:val="es-MX"/>
                    </w:rPr>
                    <w:t>Ayuntamiento de Metepec</w:t>
                  </w:r>
                </w:p>
              </w:tc>
              <w:tc>
                <w:tcPr>
                  <w:tcW w:w="1320" w:type="dxa"/>
                  <w:shd w:val="clear" w:color="auto" w:fill="auto"/>
                  <w:noWrap/>
                  <w:vAlign w:val="bottom"/>
                  <w:hideMark/>
                </w:tcPr>
                <w:p w14:paraId="49B8FC52" w14:textId="77777777" w:rsidR="009E7C77" w:rsidRPr="009E7C77" w:rsidRDefault="009E7C77" w:rsidP="009E7C77">
                  <w:pPr>
                    <w:spacing w:after="0" w:line="240" w:lineRule="auto"/>
                    <w:jc w:val="center"/>
                    <w:rPr>
                      <w:rFonts w:eastAsia="Times New Roman" w:cs="Calibri"/>
                      <w:color w:val="000000"/>
                      <w:lang w:val="es-MX"/>
                    </w:rPr>
                  </w:pPr>
                  <w:r w:rsidRPr="009E7C77">
                    <w:rPr>
                      <w:rFonts w:eastAsia="Times New Roman" w:cs="Calibri"/>
                      <w:color w:val="000000"/>
                      <w:lang w:val="es-MX"/>
                    </w:rPr>
                    <w:t>1</w:t>
                  </w:r>
                </w:p>
              </w:tc>
            </w:tr>
            <w:tr w:rsidR="009E7C77" w:rsidRPr="009E7C77" w14:paraId="42FB576C" w14:textId="77777777" w:rsidTr="009E7C77">
              <w:trPr>
                <w:trHeight w:val="315"/>
                <w:jc w:val="center"/>
              </w:trPr>
              <w:tc>
                <w:tcPr>
                  <w:tcW w:w="2560" w:type="dxa"/>
                  <w:shd w:val="clear" w:color="auto" w:fill="auto"/>
                  <w:vAlign w:val="bottom"/>
                  <w:hideMark/>
                </w:tcPr>
                <w:p w14:paraId="2938144E" w14:textId="77777777" w:rsidR="009E7C77" w:rsidRPr="009E7C77" w:rsidRDefault="009E7C77" w:rsidP="009E7C77">
                  <w:pPr>
                    <w:spacing w:after="0" w:line="240" w:lineRule="auto"/>
                    <w:rPr>
                      <w:rFonts w:eastAsia="Times New Roman" w:cs="Calibri"/>
                      <w:color w:val="000000"/>
                      <w:lang w:val="es-MX"/>
                    </w:rPr>
                  </w:pPr>
                  <w:r w:rsidRPr="009E7C77">
                    <w:rPr>
                      <w:rFonts w:eastAsia="Times New Roman" w:cs="Calibri"/>
                      <w:color w:val="000000"/>
                      <w:lang w:val="es-MX"/>
                    </w:rPr>
                    <w:t>Ayuntamiento de Toluca</w:t>
                  </w:r>
                </w:p>
              </w:tc>
              <w:tc>
                <w:tcPr>
                  <w:tcW w:w="1320" w:type="dxa"/>
                  <w:shd w:val="clear" w:color="auto" w:fill="auto"/>
                  <w:noWrap/>
                  <w:vAlign w:val="bottom"/>
                  <w:hideMark/>
                </w:tcPr>
                <w:p w14:paraId="676FB18D" w14:textId="77777777" w:rsidR="009E7C77" w:rsidRPr="009E7C77" w:rsidRDefault="009E7C77" w:rsidP="009E7C77">
                  <w:pPr>
                    <w:spacing w:after="0" w:line="240" w:lineRule="auto"/>
                    <w:jc w:val="center"/>
                    <w:rPr>
                      <w:rFonts w:eastAsia="Times New Roman" w:cs="Calibri"/>
                      <w:color w:val="000000"/>
                      <w:lang w:val="es-MX"/>
                    </w:rPr>
                  </w:pPr>
                  <w:r w:rsidRPr="009E7C77">
                    <w:rPr>
                      <w:rFonts w:eastAsia="Times New Roman" w:cs="Calibri"/>
                      <w:color w:val="000000"/>
                      <w:lang w:val="es-MX"/>
                    </w:rPr>
                    <w:t>7</w:t>
                  </w:r>
                </w:p>
              </w:tc>
            </w:tr>
            <w:tr w:rsidR="009E7C77" w:rsidRPr="009E7C77" w14:paraId="5DD995BA" w14:textId="77777777" w:rsidTr="009E7C77">
              <w:trPr>
                <w:trHeight w:val="630"/>
                <w:jc w:val="center"/>
              </w:trPr>
              <w:tc>
                <w:tcPr>
                  <w:tcW w:w="2560" w:type="dxa"/>
                  <w:shd w:val="clear" w:color="auto" w:fill="auto"/>
                  <w:vAlign w:val="bottom"/>
                  <w:hideMark/>
                </w:tcPr>
                <w:p w14:paraId="1757801B" w14:textId="77777777" w:rsidR="009E7C77" w:rsidRPr="009E7C77" w:rsidRDefault="009E7C77" w:rsidP="009E7C77">
                  <w:pPr>
                    <w:spacing w:after="0" w:line="240" w:lineRule="auto"/>
                    <w:rPr>
                      <w:rFonts w:eastAsia="Times New Roman" w:cs="Calibri"/>
                      <w:color w:val="000000"/>
                      <w:lang w:val="es-MX"/>
                    </w:rPr>
                  </w:pPr>
                  <w:r w:rsidRPr="009E7C77">
                    <w:rPr>
                      <w:rFonts w:eastAsia="Times New Roman" w:cs="Calibri"/>
                      <w:color w:val="000000"/>
                      <w:lang w:val="es-MX"/>
                    </w:rPr>
                    <w:t>Organismo Agua y Saneamiento de Toluca</w:t>
                  </w:r>
                </w:p>
              </w:tc>
              <w:tc>
                <w:tcPr>
                  <w:tcW w:w="1320" w:type="dxa"/>
                  <w:shd w:val="clear" w:color="auto" w:fill="auto"/>
                  <w:noWrap/>
                  <w:vAlign w:val="bottom"/>
                  <w:hideMark/>
                </w:tcPr>
                <w:p w14:paraId="12DA5AC9" w14:textId="77777777" w:rsidR="009E7C77" w:rsidRPr="009E7C77" w:rsidRDefault="009E7C77" w:rsidP="009E7C77">
                  <w:pPr>
                    <w:spacing w:after="0" w:line="240" w:lineRule="auto"/>
                    <w:jc w:val="center"/>
                    <w:rPr>
                      <w:rFonts w:eastAsia="Times New Roman" w:cs="Calibri"/>
                      <w:color w:val="000000"/>
                      <w:lang w:val="es-MX"/>
                    </w:rPr>
                  </w:pPr>
                  <w:r w:rsidRPr="009E7C77">
                    <w:rPr>
                      <w:rFonts w:eastAsia="Times New Roman" w:cs="Calibri"/>
                      <w:color w:val="000000"/>
                      <w:lang w:val="es-MX"/>
                    </w:rPr>
                    <w:t>1</w:t>
                  </w:r>
                </w:p>
              </w:tc>
            </w:tr>
            <w:tr w:rsidR="007E4C1C" w:rsidRPr="009E7C77" w14:paraId="45252497" w14:textId="77777777" w:rsidTr="009E7C77">
              <w:trPr>
                <w:trHeight w:val="630"/>
                <w:jc w:val="center"/>
              </w:trPr>
              <w:tc>
                <w:tcPr>
                  <w:tcW w:w="2560" w:type="dxa"/>
                  <w:shd w:val="clear" w:color="auto" w:fill="auto"/>
                  <w:vAlign w:val="bottom"/>
                </w:tcPr>
                <w:p w14:paraId="0F5072B1" w14:textId="56613282" w:rsidR="007E4C1C" w:rsidRPr="009E7C77" w:rsidRDefault="007E4C1C" w:rsidP="009E7C77">
                  <w:pPr>
                    <w:spacing w:after="0" w:line="240" w:lineRule="auto"/>
                    <w:rPr>
                      <w:rFonts w:eastAsia="Times New Roman" w:cs="Calibri"/>
                      <w:color w:val="000000"/>
                      <w:lang w:val="es-MX"/>
                    </w:rPr>
                  </w:pPr>
                  <w:r>
                    <w:rPr>
                      <w:rFonts w:eastAsia="Times New Roman" w:cs="Calibri"/>
                      <w:color w:val="000000"/>
                      <w:lang w:val="es-MX"/>
                    </w:rPr>
                    <w:t>Secretaría de Seguridad Ciudadana (CDMX)</w:t>
                  </w:r>
                </w:p>
              </w:tc>
              <w:tc>
                <w:tcPr>
                  <w:tcW w:w="1320" w:type="dxa"/>
                  <w:shd w:val="clear" w:color="auto" w:fill="auto"/>
                  <w:noWrap/>
                  <w:vAlign w:val="bottom"/>
                </w:tcPr>
                <w:p w14:paraId="1C4CB0BE" w14:textId="69DB8F79" w:rsidR="007E4C1C" w:rsidRPr="009E7C77" w:rsidRDefault="007E4C1C" w:rsidP="009E7C77">
                  <w:pPr>
                    <w:spacing w:after="0" w:line="240" w:lineRule="auto"/>
                    <w:jc w:val="center"/>
                    <w:rPr>
                      <w:rFonts w:eastAsia="Times New Roman" w:cs="Calibri"/>
                      <w:color w:val="000000"/>
                      <w:lang w:val="es-MX"/>
                    </w:rPr>
                  </w:pPr>
                  <w:r>
                    <w:rPr>
                      <w:rFonts w:eastAsia="Times New Roman" w:cs="Calibri"/>
                      <w:color w:val="000000"/>
                      <w:lang w:val="es-MX"/>
                    </w:rPr>
                    <w:t>3</w:t>
                  </w:r>
                </w:p>
              </w:tc>
            </w:tr>
            <w:tr w:rsidR="009E7C77" w:rsidRPr="009E7C77" w14:paraId="33A41C74" w14:textId="77777777" w:rsidTr="009E7C77">
              <w:trPr>
                <w:trHeight w:val="630"/>
                <w:jc w:val="center"/>
              </w:trPr>
              <w:tc>
                <w:tcPr>
                  <w:tcW w:w="2560" w:type="dxa"/>
                  <w:shd w:val="clear" w:color="auto" w:fill="auto"/>
                  <w:vAlign w:val="bottom"/>
                  <w:hideMark/>
                </w:tcPr>
                <w:p w14:paraId="6F1CF21E" w14:textId="77777777" w:rsidR="009E7C77" w:rsidRPr="009E7C77" w:rsidRDefault="009E7C77" w:rsidP="009E7C77">
                  <w:pPr>
                    <w:spacing w:after="0" w:line="240" w:lineRule="auto"/>
                    <w:rPr>
                      <w:rFonts w:eastAsia="Times New Roman" w:cs="Calibri"/>
                      <w:color w:val="000000"/>
                      <w:lang w:val="es-MX"/>
                    </w:rPr>
                  </w:pPr>
                  <w:r w:rsidRPr="009E7C77">
                    <w:rPr>
                      <w:rFonts w:eastAsia="Times New Roman" w:cs="Calibri"/>
                      <w:color w:val="000000"/>
                      <w:lang w:val="es-MX"/>
                    </w:rPr>
                    <w:t>Sistema de Aguas de la Ciudad de México</w:t>
                  </w:r>
                </w:p>
              </w:tc>
              <w:tc>
                <w:tcPr>
                  <w:tcW w:w="1320" w:type="dxa"/>
                  <w:shd w:val="clear" w:color="auto" w:fill="auto"/>
                  <w:noWrap/>
                  <w:vAlign w:val="bottom"/>
                  <w:hideMark/>
                </w:tcPr>
                <w:p w14:paraId="448168F3" w14:textId="18773A3B" w:rsidR="009E7C77" w:rsidRPr="009E7C77" w:rsidRDefault="009E7C77" w:rsidP="009E7C77">
                  <w:pPr>
                    <w:spacing w:after="0" w:line="240" w:lineRule="auto"/>
                    <w:jc w:val="center"/>
                    <w:rPr>
                      <w:rFonts w:eastAsia="Times New Roman" w:cs="Calibri"/>
                      <w:color w:val="000000"/>
                      <w:lang w:val="es-MX"/>
                    </w:rPr>
                  </w:pPr>
                  <w:r w:rsidRPr="007E4C1C">
                    <w:rPr>
                      <w:rFonts w:eastAsia="Times New Roman" w:cs="Calibri"/>
                      <w:color w:val="000000"/>
                      <w:lang w:val="es-MX"/>
                    </w:rPr>
                    <w:t>5</w:t>
                  </w:r>
                </w:p>
              </w:tc>
            </w:tr>
            <w:tr w:rsidR="009E7C77" w:rsidRPr="009E7C77" w14:paraId="17E64CE5" w14:textId="77777777" w:rsidTr="009E7C77">
              <w:trPr>
                <w:trHeight w:val="315"/>
                <w:jc w:val="center"/>
              </w:trPr>
              <w:tc>
                <w:tcPr>
                  <w:tcW w:w="2560" w:type="dxa"/>
                  <w:shd w:val="clear" w:color="auto" w:fill="auto"/>
                  <w:vAlign w:val="bottom"/>
                  <w:hideMark/>
                </w:tcPr>
                <w:p w14:paraId="47F9685A" w14:textId="3B76F99F" w:rsidR="009E7C77" w:rsidRPr="009E7C77" w:rsidRDefault="009E7C77" w:rsidP="009E7C77">
                  <w:pPr>
                    <w:spacing w:after="0" w:line="240" w:lineRule="auto"/>
                    <w:jc w:val="center"/>
                    <w:rPr>
                      <w:rFonts w:eastAsia="Times New Roman" w:cs="Calibri"/>
                      <w:color w:val="000000"/>
                      <w:lang w:val="es-MX"/>
                    </w:rPr>
                  </w:pPr>
                  <w:r w:rsidRPr="009E7C77">
                    <w:rPr>
                      <w:rFonts w:eastAsia="Times New Roman" w:cs="Calibri"/>
                      <w:color w:val="000000"/>
                      <w:lang w:val="es-MX"/>
                    </w:rPr>
                    <w:t>Total</w:t>
                  </w:r>
                </w:p>
              </w:tc>
              <w:tc>
                <w:tcPr>
                  <w:tcW w:w="1320" w:type="dxa"/>
                  <w:shd w:val="clear" w:color="auto" w:fill="auto"/>
                  <w:noWrap/>
                  <w:vAlign w:val="bottom"/>
                  <w:hideMark/>
                </w:tcPr>
                <w:p w14:paraId="462516BE" w14:textId="78E67446" w:rsidR="009E7C77" w:rsidRPr="009E7C77" w:rsidRDefault="009E7C77" w:rsidP="009E7C77">
                  <w:pPr>
                    <w:spacing w:after="0" w:line="240" w:lineRule="auto"/>
                    <w:jc w:val="center"/>
                    <w:rPr>
                      <w:rFonts w:eastAsia="Times New Roman" w:cs="Calibri"/>
                      <w:color w:val="000000"/>
                      <w:lang w:val="es-MX"/>
                    </w:rPr>
                  </w:pPr>
                  <w:r w:rsidRPr="009E7C77">
                    <w:rPr>
                      <w:rFonts w:eastAsia="Times New Roman" w:cs="Calibri"/>
                      <w:color w:val="000000"/>
                      <w:lang w:val="es-MX"/>
                    </w:rPr>
                    <w:t>4</w:t>
                  </w:r>
                  <w:r w:rsidR="007E4C1C">
                    <w:rPr>
                      <w:rFonts w:eastAsia="Times New Roman" w:cs="Calibri"/>
                      <w:color w:val="000000"/>
                      <w:lang w:val="es-MX"/>
                    </w:rPr>
                    <w:t>8</w:t>
                  </w:r>
                </w:p>
              </w:tc>
            </w:tr>
          </w:tbl>
          <w:p w14:paraId="13E7B77D" w14:textId="77777777" w:rsidR="009E7C77" w:rsidRDefault="009E7C77">
            <w:pPr>
              <w:spacing w:after="0" w:line="240" w:lineRule="auto"/>
              <w:jc w:val="both"/>
            </w:pPr>
          </w:p>
          <w:p w14:paraId="00000051" w14:textId="3915C9B3" w:rsidR="009E7C77" w:rsidRPr="00CA37BB" w:rsidRDefault="009E7C77">
            <w:pPr>
              <w:spacing w:after="0" w:line="240" w:lineRule="auto"/>
              <w:jc w:val="both"/>
            </w:pPr>
          </w:p>
        </w:tc>
      </w:tr>
      <w:tr w:rsidR="00E2405C" w14:paraId="3203F0FA" w14:textId="77777777">
        <w:trPr>
          <w:trHeight w:val="120"/>
        </w:trPr>
        <w:tc>
          <w:tcPr>
            <w:tcW w:w="2913" w:type="dxa"/>
            <w:shd w:val="clear" w:color="auto" w:fill="auto"/>
            <w:vAlign w:val="center"/>
          </w:tcPr>
          <w:p w14:paraId="00000052" w14:textId="77777777" w:rsidR="00E2405C" w:rsidRDefault="00E2405C">
            <w:pPr>
              <w:spacing w:after="0" w:line="240" w:lineRule="auto"/>
              <w:rPr>
                <w:b/>
                <w:color w:val="000000"/>
              </w:rPr>
            </w:pPr>
          </w:p>
          <w:p w14:paraId="00000053" w14:textId="77777777" w:rsidR="00E2405C" w:rsidRDefault="00B04310">
            <w:pPr>
              <w:spacing w:after="0" w:line="240" w:lineRule="auto"/>
              <w:rPr>
                <w:b/>
                <w:color w:val="000000"/>
              </w:rPr>
            </w:pPr>
            <w:r>
              <w:rPr>
                <w:b/>
                <w:color w:val="000000"/>
              </w:rPr>
              <w:t xml:space="preserve">Experiencias exitosas </w:t>
            </w:r>
          </w:p>
          <w:p w14:paraId="00000054" w14:textId="77777777" w:rsidR="00E2405C" w:rsidRDefault="00E2405C">
            <w:pPr>
              <w:spacing w:after="0" w:line="240" w:lineRule="auto"/>
              <w:rPr>
                <w:b/>
                <w:color w:val="000000"/>
              </w:rPr>
            </w:pPr>
          </w:p>
        </w:tc>
        <w:tc>
          <w:tcPr>
            <w:tcW w:w="5915" w:type="dxa"/>
            <w:shd w:val="clear" w:color="auto" w:fill="auto"/>
          </w:tcPr>
          <w:p w14:paraId="00000055" w14:textId="77777777" w:rsidR="00E2405C" w:rsidRDefault="00E2405C">
            <w:pPr>
              <w:spacing w:after="0" w:line="240" w:lineRule="auto"/>
              <w:jc w:val="both"/>
              <w:rPr>
                <w:color w:val="404040"/>
              </w:rPr>
            </w:pPr>
          </w:p>
          <w:p w14:paraId="00000056" w14:textId="1B3CB318" w:rsidR="00E2405C" w:rsidRDefault="00466E53">
            <w:pPr>
              <w:spacing w:after="0" w:line="240" w:lineRule="auto"/>
              <w:jc w:val="both"/>
            </w:pPr>
            <w:r>
              <w:t>Del total de mujeres participantes en el proyecto, c</w:t>
            </w:r>
            <w:r w:rsidR="00E94B00" w:rsidRPr="00466E53">
              <w:t>erca de la mitad de las mujeres participantes (44%) no había ingresado al portal de transparencia de su municipio o alcaldía</w:t>
            </w:r>
            <w:r>
              <w:t>; mientras que casi dos tercios de ellas (69%) no había presentado una solicitud de información pública</w:t>
            </w:r>
            <w:r w:rsidR="00E94B00" w:rsidRPr="00466E53">
              <w:t>.</w:t>
            </w:r>
          </w:p>
          <w:p w14:paraId="02AF6D20" w14:textId="1EFA0A17" w:rsidR="00466E53" w:rsidRDefault="00466E53">
            <w:pPr>
              <w:spacing w:after="0" w:line="240" w:lineRule="auto"/>
              <w:jc w:val="both"/>
            </w:pPr>
          </w:p>
          <w:p w14:paraId="17B277CE" w14:textId="58C70098" w:rsidR="00466E53" w:rsidRDefault="00466E53">
            <w:pPr>
              <w:spacing w:after="0" w:line="240" w:lineRule="auto"/>
              <w:jc w:val="both"/>
            </w:pPr>
            <w:r>
              <w:t xml:space="preserve">La metodología aplicada para el proceso de capacitación permite acompañar a las participantes en ejercicios de búsqueda de información en portales de transparencia, así como en la presentación de solicitudes de información con su correspondiente análisis de las respuestas. </w:t>
            </w:r>
          </w:p>
          <w:p w14:paraId="17A766D5" w14:textId="77777777" w:rsidR="00466E53" w:rsidRDefault="00466E53">
            <w:pPr>
              <w:spacing w:after="0" w:line="240" w:lineRule="auto"/>
              <w:jc w:val="both"/>
            </w:pPr>
          </w:p>
          <w:p w14:paraId="7961E74D" w14:textId="0F76FF7E" w:rsidR="00466E53" w:rsidRDefault="00466E53">
            <w:pPr>
              <w:spacing w:after="0" w:line="240" w:lineRule="auto"/>
              <w:jc w:val="both"/>
            </w:pPr>
            <w:r>
              <w:t xml:space="preserve">En el caso del grupo de mujeres de Chalco, las habilidades desarrolladas para el acceso a la información les permitieron potenciar su participación en el ámbito comunitario al contar con herramientas para el acceso a la información pública sobre acciones del gobierno municipal y estatal relacionados con programas sociales, obra y seguridad pública. </w:t>
            </w:r>
          </w:p>
          <w:p w14:paraId="14B26073" w14:textId="1A2ADAF2" w:rsidR="00466E53" w:rsidRDefault="00466E53">
            <w:pPr>
              <w:spacing w:after="0" w:line="240" w:lineRule="auto"/>
              <w:jc w:val="both"/>
            </w:pPr>
          </w:p>
          <w:p w14:paraId="791E2E1B" w14:textId="444B641B" w:rsidR="00466E53" w:rsidRDefault="00466E53">
            <w:pPr>
              <w:spacing w:after="0" w:line="240" w:lineRule="auto"/>
              <w:jc w:val="both"/>
            </w:pPr>
            <w:r>
              <w:t xml:space="preserve">En el caso del grupo de mujeres de Benito Juárez, si bien ya contaban con </w:t>
            </w:r>
            <w:r w:rsidR="008540DD">
              <w:t xml:space="preserve">cierta experiencia en la presentación de solicitudes de información, las habilidades desarrolladas para el análisis y uso de la información obtenida les permitió contar con más capacidad para hacer una vigilancia ciudadana efectiva de los asuntos públicos de su demarcación, particularmente en el tema de seguridad pública. </w:t>
            </w:r>
          </w:p>
          <w:p w14:paraId="1B4C39E0" w14:textId="56550696" w:rsidR="008540DD" w:rsidRDefault="008540DD">
            <w:pPr>
              <w:spacing w:after="0" w:line="240" w:lineRule="auto"/>
              <w:jc w:val="both"/>
            </w:pPr>
          </w:p>
          <w:p w14:paraId="16EA9BE2" w14:textId="7E248E27" w:rsidR="008540DD" w:rsidRDefault="008540DD">
            <w:pPr>
              <w:spacing w:after="0" w:line="240" w:lineRule="auto"/>
              <w:jc w:val="both"/>
            </w:pPr>
            <w:r>
              <w:t xml:space="preserve">En el caso del grupo de mujeres de Tlalpan, </w:t>
            </w:r>
            <w:r w:rsidR="00CA37BB">
              <w:t>poco más de la mitad de las participantes no conocían sobre el derecho de acceso a la información ni la</w:t>
            </w:r>
            <w:r w:rsidR="00E74AB0">
              <w:t>s</w:t>
            </w:r>
            <w:r w:rsidR="00CA37BB">
              <w:t xml:space="preserve"> herramientas digitales para ejercerlo. </w:t>
            </w:r>
            <w:r w:rsidR="00E74AB0">
              <w:t xml:space="preserve">Esto tiene particular relevancia, ya que la mayoría de ellas participan en comités ciudadanos, consejos delegacionales u otros instrumentos de participación ciudadana. </w:t>
            </w:r>
          </w:p>
          <w:p w14:paraId="5B6E7590" w14:textId="37A0F7D8" w:rsidR="00E74AB0" w:rsidRDefault="00E74AB0">
            <w:pPr>
              <w:spacing w:after="0" w:line="240" w:lineRule="auto"/>
              <w:jc w:val="both"/>
            </w:pPr>
          </w:p>
          <w:p w14:paraId="3550EDD7" w14:textId="78018C07" w:rsidR="00E74AB0" w:rsidRDefault="00E74AB0">
            <w:pPr>
              <w:spacing w:after="0" w:line="240" w:lineRule="auto"/>
              <w:jc w:val="both"/>
            </w:pPr>
            <w:r>
              <w:t xml:space="preserve">En el caso del grupo de mujeres de Metepec (que incluyó a mujeres de los municipios de Toluca y Jiquipilco), las habilidades desarrolladas para el acceso a la información pública les permitió potenciar su participación en sus comunidades. Algunas de ellas, incluso, forman parte de Comités de Participación Ciudadana de los Sistemas Municipales Anticorrupción de sus respectivos municipios, lo puede significar un mayor alcance de los ejercicios de vigilancia ciudadana mediante el derecho de acceso a la información pública. </w:t>
            </w:r>
          </w:p>
          <w:p w14:paraId="00000058" w14:textId="11F5BDA2" w:rsidR="00E2405C" w:rsidRDefault="00E2405C">
            <w:pPr>
              <w:spacing w:after="0" w:line="240" w:lineRule="auto"/>
              <w:jc w:val="both"/>
              <w:rPr>
                <w:color w:val="404040"/>
              </w:rPr>
            </w:pPr>
          </w:p>
        </w:tc>
      </w:tr>
      <w:tr w:rsidR="00E2405C" w14:paraId="5C4072A5" w14:textId="77777777">
        <w:trPr>
          <w:trHeight w:val="120"/>
        </w:trPr>
        <w:tc>
          <w:tcPr>
            <w:tcW w:w="2913" w:type="dxa"/>
            <w:shd w:val="clear" w:color="auto" w:fill="auto"/>
            <w:vAlign w:val="center"/>
          </w:tcPr>
          <w:p w14:paraId="00000059" w14:textId="77777777" w:rsidR="00E2405C" w:rsidRDefault="00E2405C">
            <w:pPr>
              <w:spacing w:after="0" w:line="240" w:lineRule="auto"/>
              <w:rPr>
                <w:b/>
                <w:color w:val="000000"/>
              </w:rPr>
            </w:pPr>
          </w:p>
          <w:p w14:paraId="0000005A" w14:textId="77777777" w:rsidR="00E2405C" w:rsidRDefault="00B04310">
            <w:pPr>
              <w:spacing w:after="0" w:line="240" w:lineRule="auto"/>
              <w:rPr>
                <w:b/>
                <w:color w:val="000000"/>
              </w:rPr>
            </w:pPr>
            <w:r>
              <w:rPr>
                <w:b/>
                <w:color w:val="000000"/>
              </w:rPr>
              <w:t>Resultados alcanzados</w:t>
            </w:r>
          </w:p>
          <w:p w14:paraId="0000005B" w14:textId="77777777" w:rsidR="00E2405C" w:rsidRDefault="00B04310">
            <w:pPr>
              <w:spacing w:after="0" w:line="240" w:lineRule="auto"/>
              <w:rPr>
                <w:b/>
                <w:color w:val="000000"/>
              </w:rPr>
            </w:pPr>
            <w:r>
              <w:rPr>
                <w:b/>
                <w:color w:val="000000"/>
              </w:rPr>
              <w:t>(cuantitativos y cualitativos)</w:t>
            </w:r>
          </w:p>
          <w:p w14:paraId="0000005C" w14:textId="77777777" w:rsidR="00E2405C" w:rsidRDefault="00E2405C">
            <w:pPr>
              <w:spacing w:after="0" w:line="240" w:lineRule="auto"/>
              <w:rPr>
                <w:b/>
                <w:color w:val="000000"/>
              </w:rPr>
            </w:pPr>
          </w:p>
        </w:tc>
        <w:tc>
          <w:tcPr>
            <w:tcW w:w="5915" w:type="dxa"/>
            <w:shd w:val="clear" w:color="auto" w:fill="auto"/>
          </w:tcPr>
          <w:p w14:paraId="0000005D" w14:textId="77777777" w:rsidR="00E2405C" w:rsidRPr="00A9721A" w:rsidRDefault="00E2405C" w:rsidP="000534F7">
            <w:pPr>
              <w:spacing w:after="0" w:line="240" w:lineRule="auto"/>
              <w:jc w:val="both"/>
            </w:pPr>
          </w:p>
          <w:p w14:paraId="09A1EACE" w14:textId="7067D28E" w:rsidR="002B28EB" w:rsidRPr="00A9721A" w:rsidRDefault="002B28EB" w:rsidP="000534F7">
            <w:pPr>
              <w:spacing w:after="0" w:line="240" w:lineRule="auto"/>
              <w:jc w:val="both"/>
            </w:pPr>
            <w:r w:rsidRPr="00A9721A">
              <w:t xml:space="preserve">Resultados cuantitativos: </w:t>
            </w:r>
          </w:p>
          <w:p w14:paraId="315BB65F" w14:textId="4F16B8EC" w:rsidR="002B28EB" w:rsidRPr="00A9721A" w:rsidRDefault="00B10DC6" w:rsidP="00817663">
            <w:pPr>
              <w:pStyle w:val="Prrafodelista"/>
              <w:numPr>
                <w:ilvl w:val="0"/>
                <w:numId w:val="13"/>
              </w:numPr>
              <w:spacing w:after="0" w:line="240" w:lineRule="auto"/>
              <w:jc w:val="both"/>
            </w:pPr>
            <w:r w:rsidRPr="00A9721A">
              <w:t xml:space="preserve">Se capacitó a </w:t>
            </w:r>
            <w:r w:rsidR="002B28EB" w:rsidRPr="00A9721A">
              <w:t>49 mujeres en el ejercicio del derecho de acceso a la información pública</w:t>
            </w:r>
            <w:r w:rsidRPr="00A9721A">
              <w:t xml:space="preserve"> y la vigilancia ciudadana.</w:t>
            </w:r>
          </w:p>
          <w:p w14:paraId="6A750D8E" w14:textId="77777777" w:rsidR="00B10DC6" w:rsidRPr="00A9721A" w:rsidRDefault="00B10DC6" w:rsidP="00817663">
            <w:pPr>
              <w:pStyle w:val="Prrafodelista"/>
              <w:numPr>
                <w:ilvl w:val="0"/>
                <w:numId w:val="13"/>
              </w:numPr>
              <w:spacing w:after="0" w:line="240" w:lineRule="auto"/>
              <w:jc w:val="both"/>
            </w:pPr>
            <w:r w:rsidRPr="00A9721A">
              <w:t xml:space="preserve">Se realizaron 9 ejercicios de vigilancia ciudadana sobre asuntos públicos relacionados con programas sociales, </w:t>
            </w:r>
            <w:proofErr w:type="gramStart"/>
            <w:r w:rsidRPr="00A9721A">
              <w:t>obra pública y seguridad pública</w:t>
            </w:r>
            <w:proofErr w:type="gramEnd"/>
            <w:r w:rsidRPr="00A9721A">
              <w:t xml:space="preserve">. </w:t>
            </w:r>
          </w:p>
          <w:p w14:paraId="3264DE7B" w14:textId="27960390" w:rsidR="00B10DC6" w:rsidRPr="00A9721A" w:rsidRDefault="00B10DC6" w:rsidP="00817663">
            <w:pPr>
              <w:pStyle w:val="Prrafodelista"/>
              <w:numPr>
                <w:ilvl w:val="0"/>
                <w:numId w:val="13"/>
              </w:numPr>
              <w:spacing w:after="0" w:line="240" w:lineRule="auto"/>
              <w:jc w:val="both"/>
            </w:pPr>
            <w:r w:rsidRPr="00A9721A">
              <w:t>Se realizó 1 encuentro de mujeres donde se compartieron experiencias y recomendaciones para la vigilancia ciudadana de los asuntos públicos.</w:t>
            </w:r>
          </w:p>
          <w:p w14:paraId="41137245" w14:textId="167932EC" w:rsidR="00B10DC6" w:rsidRDefault="00B10DC6" w:rsidP="00817663">
            <w:pPr>
              <w:pStyle w:val="Prrafodelista"/>
              <w:numPr>
                <w:ilvl w:val="0"/>
                <w:numId w:val="13"/>
              </w:numPr>
              <w:spacing w:after="0" w:line="240" w:lineRule="auto"/>
              <w:jc w:val="both"/>
            </w:pPr>
            <w:r w:rsidRPr="00A9721A">
              <w:t>Se elaboraron diversos materiales para facilitar la vigilancia ciudadana de los asuntos públicos: 3 guías de vigilancia, 3 guías de apoyo, 1 buscador y 5 infografías.</w:t>
            </w:r>
          </w:p>
          <w:p w14:paraId="7051B537" w14:textId="77777777" w:rsidR="002B28EB" w:rsidRPr="00A9721A" w:rsidRDefault="002B28EB" w:rsidP="000534F7">
            <w:pPr>
              <w:spacing w:after="0" w:line="240" w:lineRule="auto"/>
              <w:jc w:val="both"/>
            </w:pPr>
          </w:p>
          <w:p w14:paraId="00000067" w14:textId="112DA327" w:rsidR="00E2405C" w:rsidRPr="00A9721A" w:rsidRDefault="00B04310" w:rsidP="000534F7">
            <w:pPr>
              <w:spacing w:after="0" w:line="240" w:lineRule="auto"/>
              <w:jc w:val="both"/>
            </w:pPr>
            <w:r w:rsidRPr="00A9721A">
              <w:t>Beneficios cualitativos</w:t>
            </w:r>
            <w:r w:rsidR="00B10DC6" w:rsidRPr="00A9721A">
              <w:t>:</w:t>
            </w:r>
            <w:r w:rsidRPr="00A9721A">
              <w:t xml:space="preserve"> </w:t>
            </w:r>
          </w:p>
          <w:p w14:paraId="00000078" w14:textId="244FE8D9" w:rsidR="00E2405C" w:rsidRPr="00A9721A" w:rsidRDefault="00B04310" w:rsidP="00817663">
            <w:pPr>
              <w:pStyle w:val="Prrafodelista"/>
              <w:numPr>
                <w:ilvl w:val="0"/>
                <w:numId w:val="13"/>
              </w:numPr>
              <w:spacing w:after="0" w:line="240" w:lineRule="auto"/>
              <w:jc w:val="both"/>
            </w:pPr>
            <w:r w:rsidRPr="00A9721A">
              <w:t>Se fortalec</w:t>
            </w:r>
            <w:r w:rsidR="000534F7" w:rsidRPr="00A9721A">
              <w:t xml:space="preserve">ieron </w:t>
            </w:r>
            <w:r w:rsidRPr="00A9721A">
              <w:t>liderazgos locales en las alcaldías/municipios objetivo</w:t>
            </w:r>
            <w:r w:rsidR="000534F7" w:rsidRPr="00A9721A">
              <w:t xml:space="preserve"> ya que las participantes </w:t>
            </w:r>
            <w:r w:rsidR="000534F7" w:rsidRPr="00A9721A">
              <w:lastRenderedPageBreak/>
              <w:t xml:space="preserve">cuentan con más herramientas y habilidades para potenciar la incidencia en los asuntos públicos (caso de Chalco, Benito Juárez y Tlalpan). </w:t>
            </w:r>
          </w:p>
          <w:p w14:paraId="28A4900B" w14:textId="0FE003DA" w:rsidR="00A9721A" w:rsidRPr="00A9721A" w:rsidRDefault="00A9721A" w:rsidP="00817663">
            <w:pPr>
              <w:pStyle w:val="Prrafodelista"/>
              <w:numPr>
                <w:ilvl w:val="0"/>
                <w:numId w:val="13"/>
              </w:numPr>
              <w:spacing w:after="0" w:line="240" w:lineRule="auto"/>
              <w:jc w:val="both"/>
            </w:pPr>
            <w:r w:rsidRPr="00A9721A">
              <w:t xml:space="preserve">Se generaron redes colaborativas en el ámbito local entre mujeres, lo que favorece la acción colectiva para la participación en los asuntos públicos (caso de Chalco y Tlalpan). </w:t>
            </w:r>
          </w:p>
          <w:p w14:paraId="6D722F6E" w14:textId="61D23D8C" w:rsidR="00B10DC6" w:rsidRPr="00A9721A" w:rsidRDefault="000534F7" w:rsidP="00817663">
            <w:pPr>
              <w:pStyle w:val="Prrafodelista"/>
              <w:numPr>
                <w:ilvl w:val="0"/>
                <w:numId w:val="13"/>
              </w:numPr>
              <w:spacing w:after="0" w:line="240" w:lineRule="auto"/>
              <w:jc w:val="both"/>
            </w:pPr>
            <w:r w:rsidRPr="00A9721A">
              <w:t xml:space="preserve">Se generó conocimiento sobre la experiencia de las mujeres participantes como usuarias del derecho de acceso a la información pública a partir de un informe de accesibilidad y un documento de sistematización. </w:t>
            </w:r>
          </w:p>
          <w:p w14:paraId="12FB3AC8" w14:textId="34A16E79" w:rsidR="00817663" w:rsidRPr="00A9721A" w:rsidRDefault="00817663" w:rsidP="00817663">
            <w:pPr>
              <w:pStyle w:val="Prrafodelista"/>
              <w:numPr>
                <w:ilvl w:val="0"/>
                <w:numId w:val="13"/>
              </w:numPr>
              <w:spacing w:after="0" w:line="240" w:lineRule="auto"/>
              <w:jc w:val="both"/>
            </w:pPr>
            <w:r>
              <w:t xml:space="preserve">Se generaron interacciones por medio de publicaciones en redes sociales (Facebook) para visibilizar la importancia del derecho de acceso a la información pública para la vigilancia ciudadana de los asuntos públicos locales. </w:t>
            </w:r>
          </w:p>
          <w:p w14:paraId="00000079" w14:textId="77777777" w:rsidR="00E2405C" w:rsidRPr="00A9721A" w:rsidRDefault="00E2405C" w:rsidP="000534F7">
            <w:pPr>
              <w:spacing w:after="0" w:line="240" w:lineRule="auto"/>
              <w:jc w:val="both"/>
            </w:pPr>
          </w:p>
        </w:tc>
      </w:tr>
      <w:tr w:rsidR="00E2405C" w14:paraId="4EE405AB" w14:textId="77777777">
        <w:trPr>
          <w:trHeight w:val="120"/>
        </w:trPr>
        <w:tc>
          <w:tcPr>
            <w:tcW w:w="2913" w:type="dxa"/>
            <w:shd w:val="clear" w:color="auto" w:fill="auto"/>
            <w:vAlign w:val="center"/>
          </w:tcPr>
          <w:p w14:paraId="0000007A" w14:textId="77777777" w:rsidR="00E2405C" w:rsidRDefault="00E2405C">
            <w:pPr>
              <w:spacing w:after="0" w:line="240" w:lineRule="auto"/>
              <w:rPr>
                <w:b/>
                <w:color w:val="000000"/>
              </w:rPr>
            </w:pPr>
          </w:p>
          <w:p w14:paraId="0000007B" w14:textId="77777777" w:rsidR="00E2405C" w:rsidRDefault="00B04310">
            <w:pPr>
              <w:spacing w:after="0" w:line="240" w:lineRule="auto"/>
              <w:rPr>
                <w:b/>
                <w:color w:val="000000"/>
              </w:rPr>
            </w:pPr>
            <w:r>
              <w:rPr>
                <w:b/>
                <w:color w:val="000000"/>
              </w:rPr>
              <w:t>Evaluación del proyecto</w:t>
            </w:r>
          </w:p>
          <w:p w14:paraId="0000007C" w14:textId="77777777" w:rsidR="00E2405C" w:rsidRDefault="00E2405C">
            <w:pPr>
              <w:spacing w:after="0" w:line="240" w:lineRule="auto"/>
              <w:rPr>
                <w:b/>
                <w:color w:val="000000"/>
              </w:rPr>
            </w:pPr>
          </w:p>
        </w:tc>
        <w:tc>
          <w:tcPr>
            <w:tcW w:w="5915" w:type="dxa"/>
            <w:shd w:val="clear" w:color="auto" w:fill="auto"/>
          </w:tcPr>
          <w:p w14:paraId="7D3E5525" w14:textId="77777777" w:rsidR="007A0D59" w:rsidRDefault="007A0D59">
            <w:pPr>
              <w:spacing w:after="0" w:line="240" w:lineRule="auto"/>
              <w:jc w:val="both"/>
            </w:pPr>
          </w:p>
          <w:p w14:paraId="02F22205" w14:textId="0F81AFB4" w:rsidR="00EF1118" w:rsidRDefault="00EF1118">
            <w:pPr>
              <w:spacing w:after="0" w:line="240" w:lineRule="auto"/>
              <w:jc w:val="both"/>
            </w:pPr>
            <w:r>
              <w:t>En términos de</w:t>
            </w:r>
            <w:bookmarkStart w:id="1" w:name="_GoBack"/>
            <w:bookmarkEnd w:id="1"/>
            <w:r>
              <w:t xml:space="preserve"> diseño del proyecto, en reiteradas ocasiones las participantes manifestaron la pertinencia y relevancia del proceso de capacitación para el ejercicio de derechos humanos, particularmente el derecho de acceso a la información pública y el derecho a la participación ciudadana. La metodología fue adecuada para el logro de los objetivos definidos. </w:t>
            </w:r>
          </w:p>
          <w:p w14:paraId="6062FAFC" w14:textId="77777777" w:rsidR="00EF1118" w:rsidRDefault="00EF1118">
            <w:pPr>
              <w:spacing w:after="0" w:line="240" w:lineRule="auto"/>
              <w:jc w:val="both"/>
            </w:pPr>
          </w:p>
          <w:p w14:paraId="11FD19B3" w14:textId="78087B1E" w:rsidR="00877704" w:rsidRDefault="00EF1118">
            <w:pPr>
              <w:spacing w:after="0" w:line="240" w:lineRule="auto"/>
              <w:jc w:val="both"/>
            </w:pPr>
            <w:r>
              <w:t xml:space="preserve">En términos de gestión, las actividades de capacitación y acompañamiento se llevaron a cabo conforme al programa de trabajo, aún cuando se tuvieron que modificar los grupos de mujeres con lo que se iba a trabajar. Se llevaron a cabo reuniones semanales de seguimiento y prospección, de tal manera que se pudieron atender y corregir las desviaciones al programa de trabajo de manera oportuna. </w:t>
            </w:r>
          </w:p>
          <w:p w14:paraId="78682C73" w14:textId="4F7E3009" w:rsidR="00EF1118" w:rsidRDefault="00EF1118">
            <w:pPr>
              <w:spacing w:after="0" w:line="240" w:lineRule="auto"/>
              <w:jc w:val="both"/>
            </w:pPr>
          </w:p>
          <w:p w14:paraId="3705B7A4" w14:textId="67FC7E01" w:rsidR="00EF1118" w:rsidRDefault="00EF1118">
            <w:pPr>
              <w:spacing w:after="0" w:line="240" w:lineRule="auto"/>
              <w:jc w:val="both"/>
            </w:pPr>
            <w:r>
              <w:t>Como aprendizaje, tenemos que la implementación del proyecto nos permitió afinar la metodología de intervención en general, la metodología de vigilancia y las herramientas. Esto implicó ajustes en la conceptualización y diseño de las guías de vigilancia ciudadana para que fueran específicas sobre temas de interés de las mujeres participantes.</w:t>
            </w:r>
          </w:p>
          <w:p w14:paraId="5C7ACC7F" w14:textId="09DFE766" w:rsidR="00EF1118" w:rsidRDefault="00EF1118">
            <w:pPr>
              <w:spacing w:after="0" w:line="240" w:lineRule="auto"/>
              <w:jc w:val="both"/>
            </w:pPr>
          </w:p>
          <w:p w14:paraId="6DBCF71D" w14:textId="7FB02D3F" w:rsidR="00EF1118" w:rsidRDefault="00EF1118">
            <w:pPr>
              <w:spacing w:after="0" w:line="240" w:lineRule="auto"/>
              <w:jc w:val="both"/>
            </w:pPr>
            <w:r>
              <w:t>Co</w:t>
            </w:r>
            <w:r w:rsidR="007A0D59">
              <w:t>m</w:t>
            </w:r>
            <w:r>
              <w:t>o retos se detecta la necesidad de</w:t>
            </w:r>
            <w:r w:rsidR="007A0D59">
              <w:t xml:space="preserve"> acercar más herramientas a las participantes para facilitar la realización de los ejercicios de vigilancia ciudadana, por ejemplo: uso de </w:t>
            </w:r>
            <w:r w:rsidR="007A0D59">
              <w:lastRenderedPageBreak/>
              <w:t xml:space="preserve">computadora e internet, habilidades de comunicación (intervenciones enfocadas y concisas, escucha activa, argumentación), habilidades de organización (esquemas de trabajo colaborativo, mecanismos para la resolución de conflictos).  </w:t>
            </w:r>
          </w:p>
          <w:p w14:paraId="75C3C80F" w14:textId="77777777" w:rsidR="00EF1118" w:rsidRDefault="00EF1118">
            <w:pPr>
              <w:spacing w:after="0" w:line="240" w:lineRule="auto"/>
              <w:jc w:val="both"/>
            </w:pPr>
          </w:p>
          <w:p w14:paraId="2A754E85" w14:textId="739B1146" w:rsidR="00EF1118" w:rsidRDefault="00EF1118">
            <w:pPr>
              <w:spacing w:after="0" w:line="240" w:lineRule="auto"/>
              <w:jc w:val="both"/>
            </w:pPr>
            <w:r>
              <w:t>Como oportuni</w:t>
            </w:r>
            <w:r w:rsidR="007A0D59">
              <w:t xml:space="preserve">dades, se establecieron vínculos con otros actores estratégicos en el tema de vigilancia ciudadana de asuntos públicos: Contralorías Municipales (Cuautitlán Izcalli, Tlalnepantla), Comités de Participación Ciudadana de los Sistemas Municipales Anticorrupción (Estado de México, Metepec, Ixtlahuaca, Jiquipilco), Secretaría de la Función Pública del Gobierno Federal, medios de comunicación (Milenio). </w:t>
            </w:r>
          </w:p>
          <w:p w14:paraId="1EF2A444" w14:textId="5D9485AA" w:rsidR="007A0D59" w:rsidRDefault="007A0D59">
            <w:pPr>
              <w:spacing w:after="0" w:line="240" w:lineRule="auto"/>
              <w:jc w:val="both"/>
            </w:pPr>
          </w:p>
          <w:p w14:paraId="0000007F" w14:textId="0CD6EA89" w:rsidR="00E2405C" w:rsidRPr="00055F08" w:rsidRDefault="007A0D59">
            <w:pPr>
              <w:spacing w:after="0" w:line="240" w:lineRule="auto"/>
              <w:jc w:val="both"/>
            </w:pPr>
            <w:r>
              <w:t xml:space="preserve">En términos de resultados, si bien se logró el objetivo principal de generar capacidades para la vigilancia ciudadana mediante el ejercicio del derecho de acceso a la información pública en mujeres de base, así como la creación de grupos y redes ciudadanas, es necesario dar seguimiento a los ejercicios de vigilancia para buscar la incidencia sobre los asuntos públicos que se abordan, ya sea para corregir fallas, deficiencias, omisiones o irregularidades, o para mejorar su funcionamiento. Lograr una relación entre </w:t>
            </w:r>
            <w:r w:rsidR="00055F08">
              <w:t xml:space="preserve">la </w:t>
            </w:r>
            <w:r>
              <w:t xml:space="preserve">ciudadanía y los gobiernos locales </w:t>
            </w:r>
            <w:r w:rsidR="00055F08">
              <w:t xml:space="preserve">basada en los principios de transparencia, participación ciudadana y rendición de cuentas, requiere de procesos de fortalecimiento de capacidades y acompañamiento de mediano plazo. </w:t>
            </w:r>
          </w:p>
          <w:p w14:paraId="00000080" w14:textId="77777777" w:rsidR="00E2405C" w:rsidRDefault="00B04310">
            <w:pPr>
              <w:spacing w:after="0" w:line="240" w:lineRule="auto"/>
              <w:jc w:val="both"/>
              <w:rPr>
                <w:color w:val="404040"/>
              </w:rPr>
            </w:pPr>
            <w:r>
              <w:rPr>
                <w:color w:val="404040"/>
              </w:rPr>
              <w:t xml:space="preserve"> </w:t>
            </w:r>
          </w:p>
        </w:tc>
      </w:tr>
      <w:tr w:rsidR="00E2405C" w14:paraId="450F6A84" w14:textId="77777777">
        <w:trPr>
          <w:trHeight w:val="120"/>
        </w:trPr>
        <w:tc>
          <w:tcPr>
            <w:tcW w:w="2913" w:type="dxa"/>
            <w:shd w:val="clear" w:color="auto" w:fill="auto"/>
            <w:vAlign w:val="center"/>
          </w:tcPr>
          <w:p w14:paraId="00000081" w14:textId="77777777" w:rsidR="00E2405C" w:rsidRDefault="00E2405C">
            <w:pPr>
              <w:spacing w:after="0" w:line="240" w:lineRule="auto"/>
              <w:rPr>
                <w:b/>
                <w:color w:val="000000"/>
              </w:rPr>
            </w:pPr>
          </w:p>
          <w:p w14:paraId="00000082" w14:textId="77777777" w:rsidR="00E2405C" w:rsidRDefault="00B04310">
            <w:pPr>
              <w:spacing w:after="0" w:line="240" w:lineRule="auto"/>
              <w:rPr>
                <w:b/>
                <w:color w:val="000000"/>
              </w:rPr>
            </w:pPr>
            <w:r>
              <w:rPr>
                <w:b/>
                <w:color w:val="000000"/>
              </w:rPr>
              <w:t>Relatorías de las actividades realizadas</w:t>
            </w:r>
          </w:p>
          <w:p w14:paraId="00000083" w14:textId="77777777" w:rsidR="00E2405C" w:rsidRDefault="00E2405C">
            <w:pPr>
              <w:spacing w:after="0" w:line="240" w:lineRule="auto"/>
              <w:rPr>
                <w:b/>
                <w:color w:val="000000"/>
              </w:rPr>
            </w:pPr>
          </w:p>
        </w:tc>
        <w:tc>
          <w:tcPr>
            <w:tcW w:w="5915" w:type="dxa"/>
            <w:shd w:val="clear" w:color="auto" w:fill="auto"/>
          </w:tcPr>
          <w:p w14:paraId="00000084" w14:textId="77777777" w:rsidR="00E2405C" w:rsidRPr="0092219E" w:rsidRDefault="00E2405C">
            <w:pPr>
              <w:spacing w:after="0" w:line="240" w:lineRule="auto"/>
              <w:jc w:val="both"/>
            </w:pPr>
          </w:p>
          <w:p w14:paraId="00000085" w14:textId="3A9D0D17" w:rsidR="007945BD" w:rsidRPr="0092219E" w:rsidRDefault="0092219E">
            <w:pPr>
              <w:spacing w:after="0" w:line="240" w:lineRule="auto"/>
              <w:jc w:val="both"/>
            </w:pPr>
            <w:r w:rsidRPr="0092219E">
              <w:t>RELATORIAS_MVP ARKEMETRIA_2019</w:t>
            </w:r>
          </w:p>
        </w:tc>
      </w:tr>
    </w:tbl>
    <w:p w14:paraId="00000086" w14:textId="77777777" w:rsidR="00E2405C" w:rsidRDefault="00E2405C">
      <w:pPr>
        <w:jc w:val="center"/>
        <w:rPr>
          <w:b/>
          <w:sz w:val="24"/>
          <w:szCs w:val="24"/>
        </w:rPr>
      </w:pPr>
    </w:p>
    <w:p w14:paraId="00000087" w14:textId="77777777" w:rsidR="00E2405C" w:rsidRDefault="00E2405C"/>
    <w:p w14:paraId="00000088" w14:textId="77777777" w:rsidR="00E2405C" w:rsidRDefault="00E2405C">
      <w:pPr>
        <w:rPr>
          <w:b/>
        </w:rPr>
      </w:pPr>
    </w:p>
    <w:sectPr w:rsidR="00E2405C">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8ABB" w14:textId="77777777" w:rsidR="00574E40" w:rsidRDefault="00574E40">
      <w:pPr>
        <w:spacing w:after="0" w:line="240" w:lineRule="auto"/>
      </w:pPr>
      <w:r>
        <w:separator/>
      </w:r>
    </w:p>
  </w:endnote>
  <w:endnote w:type="continuationSeparator" w:id="0">
    <w:p w14:paraId="07A14125" w14:textId="77777777" w:rsidR="00574E40" w:rsidRDefault="0057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CA1D" w14:textId="77777777" w:rsidR="00574E40" w:rsidRDefault="00574E40">
      <w:pPr>
        <w:spacing w:after="0" w:line="240" w:lineRule="auto"/>
      </w:pPr>
      <w:r>
        <w:separator/>
      </w:r>
    </w:p>
  </w:footnote>
  <w:footnote w:type="continuationSeparator" w:id="0">
    <w:p w14:paraId="4FA0DB77" w14:textId="77777777" w:rsidR="00574E40" w:rsidRDefault="00574E40">
      <w:pPr>
        <w:spacing w:after="0" w:line="240" w:lineRule="auto"/>
      </w:pPr>
      <w:r>
        <w:continuationSeparator/>
      </w:r>
    </w:p>
  </w:footnote>
  <w:footnote w:id="1">
    <w:p w14:paraId="0000008B" w14:textId="77777777" w:rsidR="00E2405C" w:rsidRDefault="00B04310">
      <w:pPr>
        <w:spacing w:after="0" w:line="240" w:lineRule="auto"/>
        <w:jc w:val="both"/>
        <w:rPr>
          <w:sz w:val="20"/>
          <w:szCs w:val="20"/>
        </w:rPr>
      </w:pPr>
      <w:r>
        <w:rPr>
          <w:vertAlign w:val="superscript"/>
        </w:rPr>
        <w:footnoteRef/>
      </w:r>
      <w:r>
        <w:rPr>
          <w:sz w:val="20"/>
          <w:szCs w:val="20"/>
        </w:rPr>
        <w:t xml:space="preserve"> Derivado de los ajustes al proyecto, los lugares geográficos donde se intervino fueron: Benito Juárez, Tlalpan y Cuauhtémoc en la Ciudad de México, así como Chalco y Metepec en el Estado de México.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7777777" w:rsidR="00E2405C" w:rsidRDefault="00B04310">
    <w:pPr>
      <w:pBdr>
        <w:top w:val="nil"/>
        <w:left w:val="nil"/>
        <w:bottom w:val="nil"/>
        <w:right w:val="nil"/>
        <w:between w:val="nil"/>
      </w:pBdr>
      <w:tabs>
        <w:tab w:val="center" w:pos="4419"/>
        <w:tab w:val="right" w:pos="8838"/>
      </w:tabs>
      <w:spacing w:after="0" w:line="240" w:lineRule="auto"/>
      <w:rPr>
        <w:rFonts w:cs="Calibri"/>
        <w:color w:val="000000"/>
      </w:rPr>
    </w:pPr>
    <w:r>
      <w:rPr>
        <w:rFonts w:cs="Calibri"/>
        <w:noProof/>
        <w:color w:val="000000"/>
      </w:rPr>
      <w:drawing>
        <wp:inline distT="0" distB="0" distL="0" distR="0" wp14:anchorId="32EE78A2" wp14:editId="0196BEEA">
          <wp:extent cx="5612130" cy="1003205"/>
          <wp:effectExtent l="0" t="0" r="0" b="0"/>
          <wp:docPr id="2" name="image1.jpg" descr="C:\Users\martha.garcia\AppData\Local\Microsoft\Windows\INetCache\Content.Word\prosede 2019 header.jpg"/>
          <wp:cNvGraphicFramePr/>
          <a:graphic xmlns:a="http://schemas.openxmlformats.org/drawingml/2006/main">
            <a:graphicData uri="http://schemas.openxmlformats.org/drawingml/2006/picture">
              <pic:pic xmlns:pic="http://schemas.openxmlformats.org/drawingml/2006/picture">
                <pic:nvPicPr>
                  <pic:cNvPr id="0" name="image1.jpg" descr="C:\Users\martha.garcia\AppData\Local\Microsoft\Windows\INetCache\Content.Word\prosede 2019 header.jpg"/>
                  <pic:cNvPicPr preferRelativeResize="0"/>
                </pic:nvPicPr>
                <pic:blipFill>
                  <a:blip r:embed="rId1"/>
                  <a:srcRect/>
                  <a:stretch>
                    <a:fillRect/>
                  </a:stretch>
                </pic:blipFill>
                <pic:spPr>
                  <a:xfrm>
                    <a:off x="0" y="0"/>
                    <a:ext cx="5612130" cy="1003205"/>
                  </a:xfrm>
                  <a:prstGeom prst="rect">
                    <a:avLst/>
                  </a:prstGeom>
                  <a:ln/>
                </pic:spPr>
              </pic:pic>
            </a:graphicData>
          </a:graphic>
        </wp:inline>
      </w:drawing>
    </w:r>
  </w:p>
  <w:p w14:paraId="0000008A" w14:textId="77777777" w:rsidR="00E2405C" w:rsidRDefault="00E2405C">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105"/>
    <w:multiLevelType w:val="hybridMultilevel"/>
    <w:tmpl w:val="DCFE7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522B5"/>
    <w:multiLevelType w:val="multilevel"/>
    <w:tmpl w:val="75966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90995"/>
    <w:multiLevelType w:val="multilevel"/>
    <w:tmpl w:val="B2FAA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67261"/>
    <w:multiLevelType w:val="hybridMultilevel"/>
    <w:tmpl w:val="9A068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87DD1"/>
    <w:multiLevelType w:val="hybridMultilevel"/>
    <w:tmpl w:val="13367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BB5AAD"/>
    <w:multiLevelType w:val="multilevel"/>
    <w:tmpl w:val="B9F21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B2DF3"/>
    <w:multiLevelType w:val="hybridMultilevel"/>
    <w:tmpl w:val="0010D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C297F"/>
    <w:multiLevelType w:val="multilevel"/>
    <w:tmpl w:val="541AD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72B76"/>
    <w:multiLevelType w:val="hybridMultilevel"/>
    <w:tmpl w:val="0D34D3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4FB1978"/>
    <w:multiLevelType w:val="hybridMultilevel"/>
    <w:tmpl w:val="A03CAF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6A434934"/>
    <w:multiLevelType w:val="multilevel"/>
    <w:tmpl w:val="306C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08584F"/>
    <w:multiLevelType w:val="hybridMultilevel"/>
    <w:tmpl w:val="0C940B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E115715"/>
    <w:multiLevelType w:val="hybridMultilevel"/>
    <w:tmpl w:val="2ECED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56192A"/>
    <w:multiLevelType w:val="hybridMultilevel"/>
    <w:tmpl w:val="259E96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7F5D6233"/>
    <w:multiLevelType w:val="hybridMultilevel"/>
    <w:tmpl w:val="151658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5"/>
  </w:num>
  <w:num w:numId="6">
    <w:abstractNumId w:val="12"/>
  </w:num>
  <w:num w:numId="7">
    <w:abstractNumId w:val="14"/>
  </w:num>
  <w:num w:numId="8">
    <w:abstractNumId w:val="6"/>
  </w:num>
  <w:num w:numId="9">
    <w:abstractNumId w:val="4"/>
  </w:num>
  <w:num w:numId="10">
    <w:abstractNumId w:val="13"/>
  </w:num>
  <w:num w:numId="11">
    <w:abstractNumId w:val="8"/>
  </w:num>
  <w:num w:numId="12">
    <w:abstractNumId w:val="11"/>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5C"/>
    <w:rsid w:val="000534F7"/>
    <w:rsid w:val="00055F08"/>
    <w:rsid w:val="002416FE"/>
    <w:rsid w:val="002B28EB"/>
    <w:rsid w:val="003C0696"/>
    <w:rsid w:val="00466E53"/>
    <w:rsid w:val="00574E40"/>
    <w:rsid w:val="007945BD"/>
    <w:rsid w:val="007A0D59"/>
    <w:rsid w:val="007D1B8A"/>
    <w:rsid w:val="007E4C1C"/>
    <w:rsid w:val="00817663"/>
    <w:rsid w:val="008540DD"/>
    <w:rsid w:val="00877704"/>
    <w:rsid w:val="0092219E"/>
    <w:rsid w:val="009E7C77"/>
    <w:rsid w:val="009F4055"/>
    <w:rsid w:val="00A9721A"/>
    <w:rsid w:val="00B04310"/>
    <w:rsid w:val="00B10DC6"/>
    <w:rsid w:val="00CA37BB"/>
    <w:rsid w:val="00E2405C"/>
    <w:rsid w:val="00E74AB0"/>
    <w:rsid w:val="00E94B00"/>
    <w:rsid w:val="00EE6829"/>
    <w:rsid w:val="00EF11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7A0F"/>
  <w15:docId w15:val="{4B82EFAE-E7D4-46A8-9A46-3A3F968E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D2"/>
    <w:rPr>
      <w:rFonts w:cs="Times New Roman"/>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175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570"/>
    <w:rPr>
      <w:rFonts w:ascii="Calibri" w:eastAsia="Calibri" w:hAnsi="Calibri" w:cs="Times New Roman"/>
      <w:lang w:val="es-ES"/>
    </w:rPr>
  </w:style>
  <w:style w:type="paragraph" w:styleId="Piedepgina">
    <w:name w:val="footer"/>
    <w:basedOn w:val="Normal"/>
    <w:link w:val="PiedepginaCar"/>
    <w:uiPriority w:val="99"/>
    <w:unhideWhenUsed/>
    <w:rsid w:val="002175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570"/>
    <w:rPr>
      <w:rFonts w:ascii="Calibri" w:eastAsia="Calibri" w:hAnsi="Calibri" w:cs="Times New Roman"/>
      <w:lang w:val="es-ES"/>
    </w:rPr>
  </w:style>
  <w:style w:type="paragraph" w:styleId="Textodeglobo">
    <w:name w:val="Balloon Text"/>
    <w:basedOn w:val="Normal"/>
    <w:link w:val="TextodegloboCar"/>
    <w:uiPriority w:val="99"/>
    <w:semiHidden/>
    <w:unhideWhenUsed/>
    <w:rsid w:val="00217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570"/>
    <w:rPr>
      <w:rFonts w:ascii="Tahoma" w:eastAsia="Calibri" w:hAnsi="Tahoma" w:cs="Tahoma"/>
      <w:sz w:val="16"/>
      <w:szCs w:val="1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cs="Times New Roman"/>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F4055"/>
    <w:pPr>
      <w:ind w:left="720"/>
      <w:contextualSpacing/>
    </w:pPr>
  </w:style>
  <w:style w:type="table" w:styleId="Tablaconcuadrcula">
    <w:name w:val="Table Grid"/>
    <w:basedOn w:val="Tablanormal"/>
    <w:uiPriority w:val="39"/>
    <w:rsid w:val="00E9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40588715">
      <w:bodyDiv w:val="1"/>
      <w:marLeft w:val="0"/>
      <w:marRight w:val="0"/>
      <w:marTop w:val="0"/>
      <w:marBottom w:val="0"/>
      <w:divBdr>
        <w:top w:val="none" w:sz="0" w:space="0" w:color="auto"/>
        <w:left w:val="none" w:sz="0" w:space="0" w:color="auto"/>
        <w:bottom w:val="none" w:sz="0" w:space="0" w:color="auto"/>
        <w:right w:val="none" w:sz="0" w:space="0" w:color="auto"/>
      </w:divBdr>
    </w:div>
    <w:div w:id="901067257">
      <w:bodyDiv w:val="1"/>
      <w:marLeft w:val="0"/>
      <w:marRight w:val="0"/>
      <w:marTop w:val="0"/>
      <w:marBottom w:val="0"/>
      <w:divBdr>
        <w:top w:val="none" w:sz="0" w:space="0" w:color="auto"/>
        <w:left w:val="none" w:sz="0" w:space="0" w:color="auto"/>
        <w:bottom w:val="none" w:sz="0" w:space="0" w:color="auto"/>
        <w:right w:val="none" w:sz="0" w:space="0" w:color="auto"/>
      </w:divBdr>
    </w:div>
    <w:div w:id="1191214716">
      <w:bodyDiv w:val="1"/>
      <w:marLeft w:val="0"/>
      <w:marRight w:val="0"/>
      <w:marTop w:val="0"/>
      <w:marBottom w:val="0"/>
      <w:divBdr>
        <w:top w:val="none" w:sz="0" w:space="0" w:color="auto"/>
        <w:left w:val="none" w:sz="0" w:space="0" w:color="auto"/>
        <w:bottom w:val="none" w:sz="0" w:space="0" w:color="auto"/>
        <w:right w:val="none" w:sz="0" w:space="0" w:color="auto"/>
      </w:divBdr>
    </w:div>
    <w:div w:id="198084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9YwRO3ONYTxp2km2vwRjxtIw==">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Rodríguez González</dc:creator>
  <cp:lastModifiedBy>Jorge</cp:lastModifiedBy>
  <cp:revision>12</cp:revision>
  <dcterms:created xsi:type="dcterms:W3CDTF">2019-05-29T15:48:00Z</dcterms:created>
  <dcterms:modified xsi:type="dcterms:W3CDTF">2019-11-27T02:21:00Z</dcterms:modified>
</cp:coreProperties>
</file>